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147</w:t>
      </w:r>
      <w:r>
        <w:rPr>
          <w:rFonts w:hint="eastAsia" w:ascii="仿宋" w:hAnsi="仿宋" w:eastAsia="仿宋" w:cs="仿宋"/>
          <w:b/>
          <w:sz w:val="32"/>
          <w:szCs w:val="32"/>
          <w:highlight w:val="none"/>
        </w:rPr>
        <w:t>号</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林芝市应急管理局</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bidi="ar"/>
        </w:rPr>
      </w:pPr>
      <w:r>
        <w:rPr>
          <w:rFonts w:hint="eastAsia" w:ascii="仿宋" w:hAnsi="仿宋" w:eastAsia="仿宋" w:cs="仿宋"/>
          <w:b/>
          <w:bCs/>
          <w:sz w:val="36"/>
          <w:szCs w:val="36"/>
          <w:highlight w:val="none"/>
          <w:lang w:bidi="ar"/>
        </w:rPr>
        <w:t>2023年度部门整体支出绩效评价报告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评价机构：陕西丰汇韵嘉会计师事务所合伙企业（普通合伙）</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r>
        <w:rPr>
          <w:rFonts w:ascii="仿宋_GB2312" w:hAnsi="Calibri" w:eastAsia="仿宋_GB2312" w:cs="仿宋_GB2312"/>
          <w:sz w:val="32"/>
          <w:szCs w:val="32"/>
          <w:highlight w:val="none"/>
          <w:lang w:bidi="ar"/>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pPr>
        <w:rPr>
          <w:rFonts w:ascii="Calibri" w:hAnsi="Calibri"/>
          <w:szCs w:val="21"/>
          <w:highlight w:val="none"/>
        </w:rPr>
      </w:pPr>
      <w:r>
        <w:rPr>
          <w:rFonts w:ascii="Calibri" w:hAnsi="Calibri"/>
          <w:szCs w:val="21"/>
          <w:highlight w:val="none"/>
          <w:lang w:bidi="ar"/>
        </w:rPr>
        <w:t xml:space="preserve"> </w:t>
      </w:r>
    </w:p>
    <w:p>
      <w:pPr>
        <w:rPr>
          <w:rFonts w:ascii="Calibri" w:hAnsi="Calibri"/>
          <w:szCs w:val="21"/>
          <w:highlight w:val="none"/>
        </w:rPr>
      </w:pPr>
      <w:r>
        <w:rPr>
          <w:rFonts w:ascii="Calibri" w:hAnsi="Calibri"/>
          <w:szCs w:val="21"/>
          <w:highlight w:val="none"/>
          <w:lang w:bidi="ar"/>
        </w:rPr>
        <w:t xml:space="preserve"> </w:t>
      </w:r>
    </w:p>
    <w:p>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_Toc11892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_Toc11892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_Toc20711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_Toc20711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_Toc22027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_Toc29013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_Toc29013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_Toc3783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_Toc3783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_Toc23088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（五）部门预算批复及整体支出安排情况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_Toc23088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_Toc30634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_Toc30634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_Toc8011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_Toc8011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_Toc27310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_Toc27310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_Toc14946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_Toc14946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_Toc2976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_Toc2976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_Toc5384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_Toc5384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_Toc1753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_Toc14077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_Toc14077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_Toc18106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_Toc18106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_Toc25653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_Toc25653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_Toc24090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_Toc24090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_Toc4121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_Toc5891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（二）预算管理方面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_Toc5891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_Toc30662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_Toc30662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_Toc20589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（二） </w:t>
      </w:r>
      <w:r>
        <w:rPr>
          <w:rFonts w:hint="eastAsia" w:ascii="仿宋" w:hAnsi="仿宋" w:eastAsia="仿宋" w:cs="仿宋"/>
          <w:sz w:val="24"/>
          <w:szCs w:val="24"/>
          <w:highlight w:val="none"/>
          <w:lang w:val="en-US" w:eastAsia="zh-CN" w:bidi="ar"/>
        </w:rPr>
        <w:t>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_Toc856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_Toc27365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_Toc27365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_Toc20103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_Toc20103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仿宋" w:hAnsi="仿宋" w:eastAsia="仿宋" w:cs="仿宋"/>
          <w:sz w:val="24"/>
          <w:szCs w:val="24"/>
        </w:rPr>
        <w:fldChar w:fldCharType="end"/>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应急管理局</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应急管理局</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市应急管理局</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市应急管理局</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市应急管理局</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11892"/>
      <w:r>
        <w:rPr>
          <w:rFonts w:hint="eastAsia" w:ascii="仿宋" w:hAnsi="仿宋" w:eastAsia="仿宋" w:cs="仿宋"/>
          <w:b/>
          <w:bCs/>
          <w:sz w:val="32"/>
          <w:szCs w:val="32"/>
          <w:highlight w:val="none"/>
          <w:lang w:bidi="ar"/>
        </w:rPr>
        <w:t>部门基本情况</w:t>
      </w:r>
      <w:bookmarkEnd w:id="6"/>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20711"/>
      <w:r>
        <w:rPr>
          <w:rFonts w:hint="eastAsia" w:ascii="仿宋" w:hAnsi="仿宋" w:eastAsia="仿宋" w:cs="仿宋"/>
          <w:b/>
          <w:bCs/>
          <w:sz w:val="32"/>
          <w:szCs w:val="32"/>
          <w:highlight w:val="none"/>
        </w:rPr>
        <w:t>（一）部门主要职能</w:t>
      </w:r>
      <w:bookmarkEnd w:id="7"/>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i w:val="0"/>
          <w:iCs w:val="0"/>
          <w:caps w:val="0"/>
          <w:color w:val="000000"/>
          <w:spacing w:val="0"/>
          <w:kern w:val="0"/>
          <w:sz w:val="32"/>
          <w:szCs w:val="32"/>
          <w:lang w:val="en-US" w:eastAsia="zh-CN"/>
        </w:rPr>
        <w:t>应急管理局</w:t>
      </w:r>
      <w:r>
        <w:rPr>
          <w:rFonts w:hint="eastAsia" w:ascii="仿宋" w:hAnsi="仿宋" w:eastAsia="仿宋" w:cs="仿宋"/>
          <w:b w:val="0"/>
          <w:bCs w:val="0"/>
          <w:i w:val="0"/>
          <w:iCs w:val="0"/>
          <w:caps w:val="0"/>
          <w:color w:val="000000"/>
          <w:spacing w:val="0"/>
          <w:kern w:val="0"/>
          <w:sz w:val="32"/>
          <w:szCs w:val="32"/>
          <w:highlight w:val="none"/>
          <w:lang w:val="en-US" w:eastAsia="zh-CN"/>
        </w:rPr>
        <w:t>是市人民政府工作部门，为正县级。主要职能是:</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bookmarkStart w:id="8" w:name="_Toc31453"/>
      <w:r>
        <w:rPr>
          <w:rFonts w:hint="eastAsia" w:ascii="仿宋" w:hAnsi="仿宋" w:eastAsia="仿宋" w:cs="仿宋"/>
          <w:b w:val="0"/>
          <w:bCs w:val="0"/>
          <w:i w:val="0"/>
          <w:iCs w:val="0"/>
          <w:caps w:val="0"/>
          <w:color w:val="000000"/>
          <w:spacing w:val="0"/>
          <w:kern w:val="0"/>
          <w:sz w:val="32"/>
          <w:szCs w:val="32"/>
          <w:highlight w:val="none"/>
          <w:lang w:val="en-US" w:eastAsia="zh-CN"/>
        </w:rPr>
        <w:t>（1）</w:t>
      </w:r>
      <w:bookmarkEnd w:id="8"/>
      <w:r>
        <w:rPr>
          <w:rFonts w:hint="eastAsia" w:ascii="仿宋" w:hAnsi="仿宋" w:eastAsia="仿宋" w:cs="仿宋"/>
          <w:b w:val="0"/>
          <w:bCs w:val="0"/>
          <w:i w:val="0"/>
          <w:iCs w:val="0"/>
          <w:caps w:val="0"/>
          <w:color w:val="000000"/>
          <w:spacing w:val="0"/>
          <w:kern w:val="0"/>
          <w:sz w:val="32"/>
          <w:szCs w:val="32"/>
          <w:highlight w:val="none"/>
          <w:lang w:val="en-US" w:eastAsia="zh-CN"/>
        </w:rPr>
        <w:t>负责应急管理工作，指导各县(区)、各部门应对安全生产类、自然灾害类等突发事件和综合防灾减灾救灾工作。负责安全生产综合监督管理和工矿商贸行业安全生产监督管理工作。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（2）拟订应急管理、安全生产政策，组织编制市应急体系建设、安全生产和综合防灾减灾规划，起草相关地方性法规和政府规章草案，组织制定有关规程和标准并监督实施。</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（3）指导应急预案体系建设，执行事故灾难和自然灾害分级应对制度，组织编制市总体应急预案和安全生产类、自然灾害类专项预案，综合协调应急预案衔接工作，组织开展预案演练，推动应急避难设施建设。</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（4）牵头建立统一的应急管理信息系统，负责信息传输渠道的规划和布局，建立监测预警和灾情报告制度，健全自然灾害信息资源获取和共享机制，依法统一发布灾情。</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（5）组织指导协调安全生产类、自然灾害类等突发事件应急救援，承担市应对重大灾害指挥部工作，建立重大灾害和突发事件的报告制度，综合研判突发事件发展态势并提出应对建议，协助市委、市</w:t>
      </w:r>
      <w:bookmarkStart w:id="34" w:name="_GoBack"/>
      <w:bookmarkEnd w:id="34"/>
      <w:r>
        <w:rPr>
          <w:rFonts w:hint="eastAsia" w:ascii="仿宋" w:hAnsi="仿宋" w:eastAsia="仿宋" w:cs="仿宋"/>
          <w:b w:val="0"/>
          <w:bCs w:val="0"/>
          <w:i w:val="0"/>
          <w:iCs w:val="0"/>
          <w:caps w:val="0"/>
          <w:color w:val="000000"/>
          <w:spacing w:val="0"/>
          <w:kern w:val="0"/>
          <w:sz w:val="32"/>
          <w:szCs w:val="32"/>
          <w:highlight w:val="none"/>
          <w:lang w:val="en-US" w:eastAsia="zh-CN"/>
        </w:rPr>
        <w:t>政府指定的负责同志组织重大灾害应急处置工作。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（6）统一协调指挥各类应急专业队伍，建立应急协调联动机制，推进指挥平台对接，衔接解放军和武警部队参与应急救援工作。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（7）统筹应急救援力量建设，负责消防、森林和草原火灾扑救、抗洪抢险、地震和地质灾害救援、生产安全事故救援等专业应急救援力量建设，管理综合性应急救援队伍，指导县(区)及社会应急救援力量建设。</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（8）负责消防工作，指导县(区)消防监督、火灾预防、火灾扑救等工作。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（9）指导协调森林和草原火灾、水旱灾害、地震和地质灾害等防治工作，负责自然灾害综合监测预警工作，指导开展自然灾害综合风险评估工作。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（10）组织协调灾害救助工作，组织指导开展灾情核查、损失评估、救灾捐赠工作，管理、分配救灾款物并监督使用。</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（11）依法行使市安全生产综合监督管理职权，指导协调、监督检查各县(区)、各部门安全生产工作，组织开展安全生产巡查、考核工作。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12）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（13）依法组织指导生产安全事故调查处理，监督事故查处和责任追究落实情况。组织开展自然灾害类突发事件的调查评估工作。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（14）开展应急管理方面的对外交流与合作，组织参与安全生产类、自然灾害类等突发事件的市外救援工作。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（15）制定应急物资储备和应急救援装备规划并组织实施，会同市粮食和物资储备局等部门建立健全应急物资信息平台和调拨制度，在救灾时统一调度。</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（16）负责应急管理、安全生产宣传教育和培训工作，组织指导应急管理、安全生产的科学技术研究、推广应用和信息化建设工作。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（17）指导、协调市地震局开展工作。</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（18）完成市委、市政府交办的其他任务。</w:t>
      </w:r>
    </w:p>
    <w:p>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19）职能转变。市应急管理局应加强、优化、统筹市应急能力建设，构建统一领导、权责一致、权威高效的应急能力体系，推动形成统一指挥、专常兼备、反应灵敏、上下联动、平战结合的中国特色、西藏特点、符合林芝实际的应急管理体制。一是坚持以防为主、防抗救结合，坚持常态减灾和非常态救灾相统一，努力实现从注重灾后救助向注重灾前预防转变，从应对单一灾种向综合减灾转变，从减少灾害损失向减轻灾害风险转变，提高市应急管理水平和防灾减灾救灾能力，防范化解重特大安全风险。二是坚持以人为本，把确保人民群众生命安全放在首位，确保受灾群众基本生活，加强应急预案演练，增强全民防灾减灾意识，普及公众知识，提升自救互救技能，切实减少人员伤亡和财产损失。三是树立安全发展理念，坚持生命至上、安全第一，完善安全生产责任制，坚决遏制重特大安全事故。</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22027"/>
      <w:r>
        <w:rPr>
          <w:rFonts w:hint="eastAsia" w:ascii="仿宋" w:hAnsi="仿宋" w:eastAsia="仿宋" w:cs="仿宋"/>
          <w:b/>
          <w:bCs/>
          <w:sz w:val="32"/>
          <w:szCs w:val="32"/>
          <w:highlight w:val="none"/>
        </w:rPr>
        <w:t>（二）机构设置情况</w:t>
      </w:r>
      <w:bookmarkEnd w:id="9"/>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7个行政机构，分别是办公室(政工人事科、规划财务科)，应急指挥中心（科技和信息化科），救援协调和预案管理科(风险监测和地质灾害救援科、救灾和物资保障科)，防汛抗旱和火灾防治管理科；安全生产基础科，安全生产综合协调科（调查评估和统计科），政策法规科（教育训练科、新闻宣传科）。</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29013"/>
      <w:r>
        <w:rPr>
          <w:rFonts w:hint="eastAsia" w:ascii="仿宋" w:hAnsi="仿宋" w:eastAsia="仿宋" w:cs="仿宋"/>
          <w:b/>
          <w:bCs/>
          <w:sz w:val="32"/>
          <w:szCs w:val="32"/>
          <w:highlight w:val="none"/>
        </w:rPr>
        <w:t>（三）人员编制情况</w:t>
      </w:r>
      <w:bookmarkEnd w:id="10"/>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林芝市应急管理局编制为24名</w:t>
      </w:r>
      <w:r>
        <w:rPr>
          <w:rFonts w:hint="eastAsia" w:ascii="仿宋" w:hAnsi="仿宋" w:eastAsia="仿宋" w:cs="仿宋"/>
          <w:b w:val="0"/>
          <w:bCs w:val="0"/>
          <w:i w:val="0"/>
          <w:iCs w:val="0"/>
          <w:caps w:val="0"/>
          <w:color w:val="000000"/>
          <w:spacing w:val="0"/>
          <w:kern w:val="0"/>
          <w:sz w:val="32"/>
          <w:szCs w:val="32"/>
          <w:highlight w:val="none"/>
          <w:lang w:val="en-US" w:eastAsia="zh-CN"/>
        </w:rPr>
        <w:t>，实际在职职工人数39人。</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1" w:name="_Toc3783"/>
      <w:r>
        <w:rPr>
          <w:rFonts w:hint="eastAsia" w:ascii="仿宋" w:hAnsi="仿宋" w:eastAsia="仿宋" w:cs="仿宋"/>
          <w:b/>
          <w:bCs/>
          <w:sz w:val="32"/>
          <w:szCs w:val="32"/>
          <w:highlight w:val="none"/>
        </w:rPr>
        <w:t>（四）年度总体工作和重点工作任务</w:t>
      </w:r>
      <w:bookmarkEnd w:id="11"/>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以来，林芝市应急管理局始终坚持以习近平新时代中国特色社会主义思想为指导,深入学习贯彻习近平总书记关于安全生产、防灾减灾救灾重要论述，真抓实干、主动作为，开展了大量基础性工作,生产安全事故起数始终保持全区最低位，为林芝市乃至全区经济社会发展营造了安全稳定的良好环境。坚持下好先手棋，早部署、先防范；坚持打好主动仗，强整治、除隐患；坚持压实监管责任，真督导、严执法；坚持防范化解风险，精准研判、科学应对；坚持人民至上理念，强化培训、狠抓宣传。</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坚持下好先手棋，早部署、先防范。2023年，市应急管理局先后组织召开安全防范部署会、重大事故隐患专项整治部署会等14次，认真研判分析安全生产形势，落实安全生产责任；制定印发《林芝市岁末年初安全生产重大隐患专项整治方案》《林芝市重大事故隐患专项整治2023年行动方案》《关于国庆节前后开展公共安全领域督导检查和重点建设项目安全生产联合执法检查工作方案的通知》等文件50余份，督促各单位落实安全生产责任，统筹抓好道路交通、建筑施工、铁路施工等领域安全风险防范和森林草原防灭火等工作，确保安全生产和防灾减灾形势总体稳定。</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坚持打好主动仗，强整治、除隐患。一是扎实开展重大事故隐患专项整治行动。聚焦道路交通、建筑施工、城镇燃气森林防火等重点行业领域,常态化开展排查整治工作。二是强化重大事故隐患挂牌督办。对检查中发现的重大安全事故隐患，敢于动真碰硬，果断采取挂牌督办措施，坚决做到“零容忍”，市安委办对85 处重大安全隐患进行了挂牌督办，落实整改责任，加强整改跟踪调度，目前已全部整改完毕。三是强化专家会诊抓安全。通过政府购买服务的方式邀请专家对危化品、烟花爆竹、非煤矿山、工贸领域等重点领域开展专项安全生产检查，共检查企业112家,发现问题隐患810条，已整改完毕。四是做好重点项目安全防范工作。先后2次召开川藏铁路、YX开发等重点项目安全防范会议，开展YX工程建设安全专项检查4次，发现问题隐患44条、已整改39条；组织开展边防公路安全生产专项检查，共检查在建工程项目12个，发现问题隐患160条，正在整改中。</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坚持压实监管责任，真督导、严执法。一是强化安全生产综合督查。先后派出4批次12个综合督导组对全市各级各部门进行督导检查，共检查7县(区)和企业单位444家次，发现各类问题隐患948条，已整改完毕。森林草原防灭火方面:二是扎实开展举报调查处理和“双随机”执法工作。2023年以来共收到安全生产群众举报13条，已核查完成13条；制定了《林芝市应急管理局重大行政执法决定法制审核制度》，立案查处企业22起、处罚 38.4万元，责令暂时停产停业3家。三是扎实做好森林草原防灭火工作。充分发挥市森防办督促、协调、指导作用，先后组织开展森林草原防灭火督导检查7轮次，共发现问题隐患 305 条、均已完成整改。</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坚持防范化解风险，精准研判、科学应对。一是着力完善应急管理制度机制。在全区率先出台《林芝市党政部门安全生产工作职责》《林芝市政府领导安全生产和防灾减灾职责任务清单》《林芝市关于进一步明确新兴行业领域安全监管职责分工的通知》《林芝市安全生产监管分级分类实施办法》等4项制度机制，安全监管责任进一步压实。确保了我市森林草原防灭火形势稳定可控。二是着力强化应急救援力量建设。在全区率先成立应急管理专家库；率先在引导社会力量参与应急救援，2023年3月，我局与77251部队、市边境管理支队、安能集团等12家应急救援联动单位签订了联动协议并进行授牌。三是着力打造全区航空应急救援示范区。立足林芝市创建全区改革开放先行区目标定位，本着“先行先试”的原则，着力发展航空应急救援能力建设。探索“直升机+消防员+吊桶”救援模式，成立全区首支航空救援分队，组织开展吊桶酒水、机降、索(滑)降等科目训练；制定了灾情侦察程序、航空救援任务执行程序等6条程序制度，逐步实现航空应急救援规范化；成功处置了“1·17”雪崩灾害救援、“应急使命-2023”抗震救灾演练、米林县加拉村侦察堰塞湖灾情巡查并转运被困群众16人等工作任务，全方位打造全区航空应急救援示范区。四是扎实做好抗震救灾工作。积极开展地震“三网一员”宏观观测速报员选聘，实现8度以上地震危险区域地震观测及速报员率达42.6%，墨脱县全覆盖，防震减灾知识普及率达到80%以上，全年共选聘培训地震宏观前兆观测员及速报员223人，完成地震信息速报11期；深入学校开展防震减灾科普知识宣传并组织地震应急疏散演练；圆满完成“应急使命·西藏2023”抗震救灾实战演习各项工作。有力提升了我市地震灾害救援能力。</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坚持人民至上理念，强化培训、狠抓宣传。扎实开展教育培训，成功举办林芝市2023年烟花爆竹经营安全视频培训会、危化品企业安全生产标准化培训班、行政执法业务专题培训班和应急救援能力提升培训班，累计280余人次参加培训，提升安全生产业务知识和应急处置能力。持续加强宣传力度，依托“5·12”防灾减灾周、安全生产月等活动载体，持续推进安全生产“五进”以及事故警示教育活动，道路交通、消防安全、危化、燃气安全、建筑施工、森林防火、旅游安全等重点领域开展安全生产宣传活动1530余场次，推送宣传短信350余万条，多角度、立体化宣传安全生产和防灾减灾知识。</w:t>
      </w:r>
    </w:p>
    <w:p>
      <w:pPr>
        <w:keepNext w:val="0"/>
        <w:keepLines w:val="0"/>
        <w:pageBreakBefore w:val="0"/>
        <w:widowControl w:val="0"/>
        <w:kinsoku/>
        <w:wordWrap/>
        <w:overflowPunct/>
        <w:topLinePunct w:val="0"/>
        <w:autoSpaceDE/>
        <w:autoSpaceDN/>
        <w:bidi w:val="0"/>
        <w:adjustRightInd/>
        <w:snapToGrid/>
        <w:ind w:firstLine="482"/>
        <w:textAlignment w:val="auto"/>
        <w:outlineLvl w:val="1"/>
        <w:rPr>
          <w:rFonts w:hint="eastAsia" w:ascii="仿宋" w:hAnsi="仿宋" w:eastAsia="仿宋" w:cs="仿宋"/>
          <w:b/>
          <w:bCs/>
          <w:sz w:val="32"/>
          <w:szCs w:val="32"/>
          <w:highlight w:val="none"/>
        </w:rPr>
      </w:pPr>
      <w:bookmarkStart w:id="12" w:name="_Toc23088"/>
      <w:r>
        <w:rPr>
          <w:rFonts w:hint="eastAsia" w:ascii="仿宋" w:hAnsi="仿宋" w:eastAsia="仿宋" w:cs="仿宋"/>
          <w:b/>
          <w:bCs/>
          <w:sz w:val="32"/>
          <w:szCs w:val="32"/>
          <w:highlight w:val="none"/>
        </w:rPr>
        <w:t>（五）部门预算批复及整体支出安排情况</w:t>
      </w:r>
      <w:bookmarkEnd w:id="12"/>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市应急管理局</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1,725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调整后调增数额为8,042.08万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w:t>
      </w:r>
      <w:r>
        <w:rPr>
          <w:rFonts w:hint="eastAsia" w:ascii="仿宋" w:hAnsi="仿宋" w:eastAsia="仿宋" w:cs="仿宋"/>
          <w:sz w:val="32"/>
          <w:szCs w:val="32"/>
          <w:highlight w:val="none"/>
          <w:lang w:val="en-US" w:eastAsia="zh-CN"/>
        </w:rPr>
        <w:t>9,855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56万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 8,810.64万元、政府性基金预算0.00万元、国有资本经营预算0.00万元、其他收入88.29万元、年初结转和结余956.63万元。</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市应急管理局</w:t>
      </w:r>
      <w:r>
        <w:rPr>
          <w:rFonts w:hint="eastAsia" w:ascii="仿宋" w:hAnsi="仿宋" w:eastAsia="仿宋" w:cs="仿宋"/>
          <w:sz w:val="32"/>
          <w:szCs w:val="32"/>
          <w:highlight w:val="none"/>
        </w:rPr>
        <w:t>决算数为2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49万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其中：基本支出金额为1,184.25万元，项目支出金额为1,724.24万元。</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3" w:name="_Toc30634"/>
      <w:r>
        <w:rPr>
          <w:rFonts w:hint="eastAsia" w:ascii="仿宋" w:hAnsi="仿宋" w:eastAsia="仿宋" w:cs="仿宋"/>
          <w:b/>
          <w:bCs/>
          <w:sz w:val="32"/>
          <w:szCs w:val="32"/>
          <w:highlight w:val="none"/>
          <w:lang w:bidi="ar"/>
        </w:rPr>
        <w:t>二、绩效评价工作开展情况</w:t>
      </w:r>
      <w:bookmarkEnd w:id="13"/>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8011"/>
      <w:r>
        <w:rPr>
          <w:rFonts w:hint="eastAsia" w:ascii="仿宋" w:hAnsi="仿宋" w:eastAsia="仿宋" w:cs="仿宋"/>
          <w:b/>
          <w:bCs/>
          <w:sz w:val="32"/>
          <w:szCs w:val="32"/>
          <w:highlight w:val="none"/>
          <w:lang w:bidi="ar"/>
        </w:rPr>
        <w:t>（一）绩效评价目的、对象和范围</w:t>
      </w:r>
      <w:bookmarkEnd w:id="14"/>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市应急管理局</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lang w:val="en-US" w:eastAsia="zh-CN"/>
        </w:rPr>
        <w:t>9,855</w:t>
      </w:r>
      <w:r>
        <w:rPr>
          <w:rFonts w:hint="eastAsia" w:ascii="仿宋" w:hAnsi="仿宋" w:eastAsia="仿宋" w:cs="仿宋"/>
          <w:sz w:val="32"/>
          <w:szCs w:val="32"/>
          <w:highlight w:val="none"/>
          <w:lang w:val="en"/>
        </w:rPr>
        <w:t>.</w:t>
      </w:r>
      <w:r>
        <w:rPr>
          <w:rFonts w:hint="eastAsia" w:ascii="仿宋" w:hAnsi="仿宋" w:eastAsia="仿宋" w:cs="仿宋"/>
          <w:sz w:val="32"/>
          <w:szCs w:val="32"/>
          <w:highlight w:val="none"/>
          <w:lang w:val="en-US" w:eastAsia="zh-CN"/>
        </w:rPr>
        <w:t>56万</w:t>
      </w:r>
      <w:r>
        <w:rPr>
          <w:rFonts w:hint="eastAsia" w:ascii="仿宋" w:hAnsi="仿宋" w:eastAsia="仿宋" w:cs="仿宋"/>
          <w:sz w:val="32"/>
          <w:szCs w:val="32"/>
          <w:highlight w:val="none"/>
          <w:lang w:val="en" w:eastAsia="zh-CN"/>
        </w:rPr>
        <w:t>元</w:t>
      </w:r>
      <w:r>
        <w:rPr>
          <w:rFonts w:hint="eastAsia" w:ascii="仿宋" w:hAnsi="仿宋" w:eastAsia="仿宋" w:cs="仿宋"/>
          <w:sz w:val="32"/>
          <w:szCs w:val="32"/>
          <w:highlight w:val="none"/>
          <w:lang w:val="en"/>
        </w:rPr>
        <w:t>。评价时间范围：202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5" w:name="_Toc4468"/>
      <w:bookmarkStart w:id="16" w:name="_Toc2914"/>
      <w:bookmarkStart w:id="17" w:name="_Toc27310"/>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5"/>
      <w:bookmarkEnd w:id="16"/>
      <w:bookmarkEnd w:id="17"/>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市应急管理局</w:t>
      </w:r>
      <w:r>
        <w:rPr>
          <w:rFonts w:hint="eastAsia" w:ascii="仿宋" w:hAnsi="仿宋" w:eastAsia="仿宋" w:cs="仿宋"/>
          <w:sz w:val="32"/>
          <w:szCs w:val="32"/>
          <w:highlight w:val="none"/>
        </w:rPr>
        <w:t>履职目标要求作为行业标准参考。</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8" w:name="_Toc14946"/>
      <w:r>
        <w:rPr>
          <w:rFonts w:hint="eastAsia" w:ascii="仿宋" w:hAnsi="仿宋" w:eastAsia="仿宋" w:cs="仿宋"/>
          <w:b/>
          <w:bCs/>
          <w:sz w:val="32"/>
          <w:szCs w:val="32"/>
          <w:highlight w:val="none"/>
          <w:lang w:bidi="ar"/>
        </w:rPr>
        <w:t>（三）绩效评价工作过程</w:t>
      </w:r>
      <w:bookmarkEnd w:id="18"/>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9" w:name="_Toc2976"/>
      <w:r>
        <w:rPr>
          <w:rFonts w:hint="eastAsia" w:ascii="仿宋" w:hAnsi="仿宋" w:eastAsia="仿宋" w:cs="仿宋"/>
          <w:b/>
          <w:bCs/>
          <w:sz w:val="32"/>
          <w:szCs w:val="32"/>
          <w:highlight w:val="none"/>
          <w:lang w:bidi="ar"/>
        </w:rPr>
        <w:t>三、综合评价情况及评价结论</w:t>
      </w:r>
      <w:bookmarkEnd w:id="19"/>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1"/>
        <w:tblW w:w="8867" w:type="dxa"/>
        <w:jc w:val="center"/>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209"/>
        <w:gridCol w:w="2210"/>
        <w:gridCol w:w="2210"/>
        <w:gridCol w:w="223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2210"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2210"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2238" w:type="dxa"/>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57.14%</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13.70</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85.63%</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2209"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2210"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15.69</w:t>
            </w:r>
          </w:p>
        </w:tc>
        <w:tc>
          <w:tcPr>
            <w:tcW w:w="2238" w:type="dxa"/>
            <w:tcBorders>
              <w:tl2br w:val="nil"/>
              <w:tr2bl w:val="nil"/>
            </w:tcBorders>
            <w:tcMar>
              <w:top w:w="10" w:type="dxa"/>
              <w:left w:w="10" w:type="dxa"/>
              <w:right w:w="10" w:type="dxa"/>
            </w:tcMar>
            <w:vAlign w:val="center"/>
          </w:tcPr>
          <w:p>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78.45%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0" w:type="dxa"/>
            <w:bottom w:w="0" w:type="dxa"/>
            <w:right w:w="0" w:type="dxa"/>
          </w:tblCellMar>
        </w:tblPrEx>
        <w:trPr>
          <w:cantSplit/>
          <w:trHeight w:val="386" w:hRule="atLeast"/>
          <w:tblHeader/>
          <w:jc w:val="center"/>
        </w:trPr>
        <w:tc>
          <w:tcPr>
            <w:tcW w:w="8867" w:type="dxa"/>
            <w:gridSpan w:val="4"/>
            <w:tcBorders>
              <w:tl2br w:val="nil"/>
              <w:tr2bl w:val="nil"/>
            </w:tcBorders>
            <w:tcMar>
              <w:top w:w="10" w:type="dxa"/>
              <w:left w:w="10" w:type="dxa"/>
              <w:right w:w="10" w:type="dxa"/>
            </w:tcMar>
            <w:vAlign w:val="center"/>
          </w:tcPr>
          <w:p>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66</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39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中</w:t>
            </w:r>
          </w:p>
        </w:tc>
      </w:tr>
    </w:tbl>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20" w:name="_Toc5384"/>
      <w:r>
        <w:rPr>
          <w:rFonts w:hint="eastAsia" w:ascii="仿宋" w:hAnsi="仿宋" w:eastAsia="仿宋" w:cs="仿宋"/>
          <w:b/>
          <w:bCs/>
          <w:sz w:val="32"/>
          <w:szCs w:val="32"/>
          <w:highlight w:val="none"/>
          <w:lang w:bidi="ar"/>
        </w:rPr>
        <w:t>四、绩效评价指标分析</w:t>
      </w:r>
      <w:bookmarkEnd w:id="20"/>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1" w:name="_Toc1753"/>
      <w:r>
        <w:rPr>
          <w:rFonts w:hint="eastAsia" w:ascii="仿宋" w:hAnsi="仿宋" w:eastAsia="仿宋" w:cs="仿宋"/>
          <w:b/>
          <w:bCs/>
          <w:sz w:val="32"/>
          <w:szCs w:val="32"/>
          <w:highlight w:val="none"/>
          <w:lang w:bidi="ar"/>
        </w:rPr>
        <w:t>（一）项目投入情况</w:t>
      </w:r>
      <w:bookmarkEnd w:id="21"/>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1"/>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90"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9</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市应急管理局设立的整体支出绩效目标依据充分，符合客观实际、符合国家法律法规、国民经济和社会发展总体规划。本项满分1分，实际得分1分。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市应急管理局</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市应急管理局设置的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lang w:val="en-US" w:eastAsia="zh-CN"/>
        </w:rPr>
        <w:t>1,725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下达2023年新增人员及工资附加各类经费预算支出</w:t>
      </w:r>
      <w:r>
        <w:rPr>
          <w:rStyle w:val="16"/>
          <w:rFonts w:hint="eastAsia" w:ascii="仿宋" w:hAnsi="仿宋" w:eastAsia="仿宋" w:cs="仿宋"/>
          <w:sz w:val="32"/>
          <w:szCs w:val="32"/>
          <w:highlight w:val="none"/>
          <w:lang w:eastAsia="zh-CN" w:bidi="ar"/>
        </w:rPr>
        <w:t>指标的通知》林财</w:t>
      </w:r>
      <w:r>
        <w:rPr>
          <w:rStyle w:val="16"/>
          <w:rFonts w:hint="eastAsia" w:ascii="仿宋" w:hAnsi="仿宋" w:eastAsia="仿宋" w:cs="仿宋"/>
          <w:sz w:val="32"/>
          <w:szCs w:val="32"/>
          <w:highlight w:val="none"/>
          <w:lang w:val="en-US" w:eastAsia="zh-CN" w:bidi="ar"/>
        </w:rPr>
        <w:t>行</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75</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w:t>
      </w:r>
      <w:r>
        <w:rPr>
          <w:rStyle w:val="16"/>
          <w:rFonts w:hint="eastAsia" w:ascii="仿宋" w:hAnsi="仿宋" w:eastAsia="仿宋" w:cs="仿宋"/>
          <w:sz w:val="32"/>
          <w:szCs w:val="32"/>
          <w:highlight w:val="none"/>
          <w:lang w:eastAsia="zh-CN" w:bidi="ar"/>
        </w:rPr>
        <w:t>、《关于</w:t>
      </w:r>
      <w:r>
        <w:rPr>
          <w:rStyle w:val="16"/>
          <w:rFonts w:hint="eastAsia" w:ascii="仿宋" w:hAnsi="仿宋" w:eastAsia="仿宋" w:cs="仿宋"/>
          <w:sz w:val="32"/>
          <w:szCs w:val="32"/>
          <w:highlight w:val="none"/>
          <w:lang w:val="en-US" w:eastAsia="zh-CN" w:bidi="ar"/>
        </w:rPr>
        <w:t>下达“1.17”雪崩灾害抢险救援补助资金</w:t>
      </w:r>
      <w:r>
        <w:rPr>
          <w:rStyle w:val="16"/>
          <w:rFonts w:hint="eastAsia" w:ascii="仿宋" w:hAnsi="仿宋" w:eastAsia="仿宋" w:cs="仿宋"/>
          <w:sz w:val="32"/>
          <w:szCs w:val="32"/>
          <w:highlight w:val="none"/>
          <w:lang w:eastAsia="zh-CN" w:bidi="ar"/>
        </w:rPr>
        <w:t>预算指标的通知》林财</w:t>
      </w:r>
      <w:r>
        <w:rPr>
          <w:rStyle w:val="16"/>
          <w:rFonts w:hint="eastAsia" w:ascii="仿宋" w:hAnsi="仿宋" w:eastAsia="仿宋" w:cs="仿宋"/>
          <w:sz w:val="32"/>
          <w:szCs w:val="32"/>
          <w:highlight w:val="none"/>
          <w:lang w:val="en-US" w:eastAsia="zh-CN" w:bidi="ar"/>
        </w:rPr>
        <w:t>行</w:t>
      </w:r>
      <w:r>
        <w:rPr>
          <w:rStyle w:val="16"/>
          <w:rFonts w:hint="eastAsia" w:ascii="仿宋" w:hAnsi="仿宋" w:eastAsia="仿宋" w:cs="仿宋"/>
          <w:sz w:val="32"/>
          <w:szCs w:val="32"/>
          <w:highlight w:val="none"/>
          <w:lang w:eastAsia="zh-CN" w:bidi="ar"/>
        </w:rPr>
        <w:t>指〔2023〕</w:t>
      </w:r>
      <w:r>
        <w:rPr>
          <w:rStyle w:val="16"/>
          <w:rFonts w:hint="eastAsia" w:ascii="仿宋" w:hAnsi="仿宋" w:eastAsia="仿宋" w:cs="仿宋"/>
          <w:sz w:val="32"/>
          <w:szCs w:val="32"/>
          <w:highlight w:val="none"/>
          <w:lang w:val="en-US" w:eastAsia="zh-CN" w:bidi="ar"/>
        </w:rPr>
        <w:t>109</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增</w:t>
      </w:r>
      <w:r>
        <w:rPr>
          <w:rFonts w:hint="eastAsia" w:ascii="仿宋" w:hAnsi="仿宋" w:eastAsia="仿宋" w:cs="仿宋"/>
          <w:sz w:val="32"/>
          <w:szCs w:val="32"/>
          <w:highlight w:val="none"/>
          <w:lang w:val="en-US" w:eastAsia="zh-CN"/>
        </w:rPr>
        <w:t>8,042.08万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w:t>
      </w:r>
      <w:r>
        <w:rPr>
          <w:rFonts w:hint="eastAsia" w:ascii="仿宋" w:hAnsi="仿宋" w:eastAsia="仿宋" w:cs="仿宋"/>
          <w:sz w:val="32"/>
          <w:szCs w:val="32"/>
          <w:highlight w:val="none"/>
          <w:lang w:val="en-US" w:eastAsia="zh-CN"/>
        </w:rPr>
        <w:t>9,855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56万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pPr>
        <w:pStyle w:val="9"/>
        <w:autoSpaceDE w:val="0"/>
        <w:spacing w:line="360" w:lineRule="auto"/>
        <w:ind w:firstLine="643" w:firstLineChars="200"/>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市应急管理局</w:t>
      </w:r>
      <w:r>
        <w:rPr>
          <w:rStyle w:val="15"/>
          <w:rFonts w:hint="eastAsia" w:ascii="仿宋" w:hAnsi="仿宋" w:eastAsia="仿宋" w:cs="仿宋"/>
          <w:color w:val="000000"/>
          <w:sz w:val="32"/>
          <w:szCs w:val="32"/>
          <w:lang w:val="en-US" w:eastAsia="zh-CN" w:bidi="ar"/>
        </w:rPr>
        <w:t>2023年在职人员39人，核定编制24名，在职人员控制率为162.50%。本项满分3分，扣3分，实际得分0分。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市应急管理局</w:t>
      </w:r>
      <w:r>
        <w:rPr>
          <w:rStyle w:val="14"/>
          <w:rFonts w:hint="eastAsia" w:ascii="仿宋" w:hAnsi="仿宋" w:eastAsia="仿宋" w:cs="仿宋"/>
          <w:color w:val="000000"/>
          <w:sz w:val="32"/>
          <w:szCs w:val="32"/>
          <w:lang w:val="en-US" w:eastAsia="zh-CN" w:bidi="ar"/>
        </w:rPr>
        <w:t>2023年三公经费预算数为53.34万元，2022年三公经费预算数为43.95万元，三公经费变动率为21.37%,本项满分3分，扣3分，实际得分0分。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市应急管理局</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20.00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14</w:t>
      </w:r>
      <w:r>
        <w:rPr>
          <w:rStyle w:val="16"/>
          <w:rFonts w:hint="eastAsia" w:ascii="仿宋" w:hAnsi="仿宋" w:eastAsia="仿宋" w:cs="仿宋"/>
          <w:sz w:val="32"/>
          <w:szCs w:val="32"/>
          <w:highlight w:val="none"/>
          <w:lang w:bidi="ar"/>
        </w:rPr>
        <w:t>个，合计</w:t>
      </w:r>
      <w:r>
        <w:rPr>
          <w:rStyle w:val="16"/>
          <w:rFonts w:hint="eastAsia" w:ascii="仿宋" w:hAnsi="仿宋" w:eastAsia="仿宋" w:cs="仿宋"/>
          <w:sz w:val="32"/>
          <w:szCs w:val="32"/>
          <w:highlight w:val="none"/>
          <w:lang w:val="en-US" w:eastAsia="zh-CN" w:bidi="ar"/>
        </w:rPr>
        <w:t>支出</w:t>
      </w:r>
      <w:r>
        <w:rPr>
          <w:rStyle w:val="16"/>
          <w:rFonts w:hint="eastAsia" w:ascii="仿宋" w:hAnsi="仿宋" w:eastAsia="仿宋" w:cs="仿宋"/>
          <w:sz w:val="32"/>
          <w:szCs w:val="32"/>
          <w:highlight w:val="none"/>
          <w:lang w:bidi="ar"/>
        </w:rPr>
        <w:t>金额为</w:t>
      </w:r>
      <w:r>
        <w:rPr>
          <w:rStyle w:val="16"/>
          <w:rFonts w:hint="eastAsia" w:ascii="仿宋" w:hAnsi="仿宋" w:eastAsia="仿宋" w:cs="仿宋"/>
          <w:sz w:val="32"/>
          <w:szCs w:val="32"/>
          <w:highlight w:val="none"/>
          <w:lang w:val="en-US" w:eastAsia="zh-CN" w:bidi="ar"/>
        </w:rPr>
        <w:t>1,483</w:t>
      </w:r>
      <w:r>
        <w:rPr>
          <w:rStyle w:val="16"/>
          <w:rFonts w:hint="eastAsia" w:ascii="仿宋" w:hAnsi="仿宋" w:eastAsia="仿宋" w:cs="仿宋"/>
          <w:sz w:val="32"/>
          <w:szCs w:val="32"/>
          <w:highlight w:val="none"/>
          <w:lang w:bidi="ar"/>
        </w:rPr>
        <w:t>.</w:t>
      </w:r>
      <w:r>
        <w:rPr>
          <w:rStyle w:val="16"/>
          <w:rFonts w:hint="eastAsia" w:ascii="仿宋" w:hAnsi="仿宋" w:eastAsia="仿宋" w:cs="仿宋"/>
          <w:sz w:val="32"/>
          <w:szCs w:val="32"/>
          <w:highlight w:val="none"/>
          <w:lang w:val="en-US" w:eastAsia="zh-CN" w:bidi="ar"/>
        </w:rPr>
        <w:t>93</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1,639.28</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90.52</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2" w:name="_Toc14077"/>
      <w:r>
        <w:rPr>
          <w:rFonts w:hint="eastAsia" w:ascii="仿宋" w:hAnsi="仿宋" w:eastAsia="仿宋" w:cs="仿宋"/>
          <w:b/>
          <w:bCs/>
          <w:sz w:val="32"/>
          <w:szCs w:val="32"/>
          <w:highlight w:val="none"/>
          <w:lang w:bidi="ar"/>
        </w:rPr>
        <w:t>（二）项目过程情况</w:t>
      </w:r>
      <w:bookmarkEnd w:id="22"/>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28</w:t>
      </w:r>
      <w:r>
        <w:rPr>
          <w:rFonts w:hint="eastAsia" w:ascii="仿宋" w:hAnsi="仿宋" w:eastAsia="仿宋" w:cs="仿宋"/>
          <w:kern w:val="2"/>
          <w:sz w:val="32"/>
          <w:szCs w:val="32"/>
          <w:highlight w:val="none"/>
          <w:lang w:bidi="ar"/>
        </w:rPr>
        <w:t>分。</w:t>
      </w:r>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1"/>
        <w:tblW w:w="8595" w:type="dxa"/>
        <w:jc w:val="center"/>
        <w:tblInd w:w="0"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0</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28</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Fonts w:hint="eastAsia" w:ascii="仿宋" w:hAnsi="仿宋" w:eastAsia="仿宋" w:cs="仿宋"/>
          <w:sz w:val="32"/>
          <w:szCs w:val="32"/>
          <w:highlight w:val="none"/>
          <w:lang w:val="en-US" w:eastAsia="zh-CN"/>
        </w:rPr>
        <w:t>9,855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56万元；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Style w:val="16"/>
          <w:rFonts w:hint="eastAsia" w:ascii="仿宋" w:hAnsi="仿宋" w:eastAsia="仿宋" w:cs="仿宋"/>
          <w:sz w:val="32"/>
          <w:szCs w:val="32"/>
          <w:highlight w:val="none"/>
          <w:lang w:eastAsia="zh-CN" w:bidi="ar"/>
        </w:rPr>
        <w:t xml:space="preserve"> 2</w:t>
      </w:r>
      <w:r>
        <w:rPr>
          <w:rStyle w:val="16"/>
          <w:rFonts w:hint="eastAsia" w:ascii="仿宋" w:hAnsi="仿宋" w:eastAsia="仿宋" w:cs="仿宋"/>
          <w:sz w:val="32"/>
          <w:szCs w:val="32"/>
          <w:highlight w:val="none"/>
          <w:lang w:val="en-US" w:eastAsia="zh-CN" w:bidi="ar"/>
        </w:rPr>
        <w:t>,</w:t>
      </w:r>
      <w:r>
        <w:rPr>
          <w:rStyle w:val="16"/>
          <w:rFonts w:hint="eastAsia" w:ascii="仿宋" w:hAnsi="仿宋" w:eastAsia="仿宋" w:cs="仿宋"/>
          <w:sz w:val="32"/>
          <w:szCs w:val="32"/>
          <w:highlight w:val="none"/>
          <w:lang w:eastAsia="zh-CN" w:bidi="ar"/>
        </w:rPr>
        <w:t>9</w:t>
      </w:r>
      <w:r>
        <w:rPr>
          <w:rStyle w:val="16"/>
          <w:rFonts w:hint="eastAsia" w:ascii="仿宋" w:hAnsi="仿宋" w:eastAsia="仿宋" w:cs="仿宋"/>
          <w:sz w:val="32"/>
          <w:szCs w:val="32"/>
          <w:highlight w:val="none"/>
          <w:lang w:val="en-US" w:eastAsia="zh-CN" w:bidi="ar"/>
        </w:rPr>
        <w:t>08</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49万</w:t>
      </w:r>
      <w:r>
        <w:rPr>
          <w:rFonts w:hint="eastAsia" w:ascii="仿宋" w:hAnsi="仿宋" w:eastAsia="仿宋" w:cs="仿宋"/>
          <w:sz w:val="32"/>
          <w:szCs w:val="32"/>
          <w:highlight w:val="none"/>
          <w:lang w:val="en-US" w:eastAsia="zh-CN"/>
        </w:rPr>
        <w:t>元</w:t>
      </w:r>
      <w:r>
        <w:rPr>
          <w:rFonts w:hint="eastAsia" w:ascii="仿宋" w:hAnsi="仿宋" w:eastAsia="仿宋" w:cs="仿宋"/>
          <w:b w:val="0"/>
          <w:bCs/>
          <w:color w:val="auto"/>
          <w:kern w:val="2"/>
          <w:sz w:val="32"/>
          <w:szCs w:val="32"/>
          <w:highlight w:val="none"/>
          <w:lang w:val="en-US" w:eastAsia="zh-CN" w:bidi="ar"/>
        </w:rPr>
        <w:t>；预算完成率为29.51%。本项满分11分，扣11分，实际得分0分。</w:t>
      </w:r>
    </w:p>
    <w:p>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r>
        <w:rPr>
          <w:rFonts w:hint="eastAsia" w:ascii="仿宋" w:hAnsi="仿宋" w:eastAsia="仿宋" w:cs="仿宋"/>
          <w:kern w:val="2"/>
          <w:sz w:val="32"/>
          <w:szCs w:val="32"/>
          <w:highlight w:val="none"/>
          <w:lang w:val="en-US" w:eastAsia="zh-CN"/>
        </w:rPr>
        <w:t>年初</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lang w:val="en-US" w:eastAsia="zh-CN"/>
        </w:rPr>
        <w:t>1,725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8,042.08万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Fonts w:hint="eastAsia" w:ascii="仿宋" w:hAnsi="仿宋" w:eastAsia="仿宋" w:cs="仿宋"/>
          <w:sz w:val="32"/>
          <w:szCs w:val="32"/>
          <w:highlight w:val="none"/>
          <w:lang w:val="en-US" w:eastAsia="zh-CN"/>
        </w:rPr>
        <w:t>9,855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56万元。预算调整率为81.60%，本项满分2分，扣2分，实际得分0分。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结转结余数为6,947.07万元，结转结余率70.49%。本项满分6分，扣6分，实际得分0分。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结转结余数为6,947.07万元，2022年结转结余数为956.63万元，结转结余变动率为626.20%。本项满分1分，扣1分，实际得分0分。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auto"/>
          <w:kern w:val="2"/>
          <w:sz w:val="32"/>
          <w:szCs w:val="32"/>
          <w:highlight w:val="none"/>
          <w:lang w:val="en-US" w:eastAsia="zh-CN" w:bidi="ar"/>
        </w:rPr>
        <w:t>2023年实际支出公用经费总额为69.39万元，2023年公用经费全年预算总额为69.39万元，公用经费控制率为100.00%。本项满分2分，实际得分2分。</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000000"/>
          <w:kern w:val="2"/>
          <w:sz w:val="32"/>
          <w:szCs w:val="32"/>
          <w:lang w:val="en-US" w:eastAsia="zh-CN" w:bidi="ar"/>
        </w:rPr>
        <w:t>2023年“三公经费”实际支出数为53.34万元，2023年“三公经费”预算安排数为53.34万元，“三公经费”控制率为100.00%。本项满分2分，扣1分，实际得分1分。</w:t>
      </w:r>
    </w:p>
    <w:p>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无政府采购项目，</w:t>
      </w:r>
      <w:r>
        <w:rPr>
          <w:rFonts w:hint="eastAsia" w:ascii="仿宋" w:hAnsi="仿宋" w:eastAsia="仿宋" w:cs="仿宋"/>
          <w:b w:val="0"/>
          <w:bCs/>
          <w:color w:val="auto"/>
          <w:kern w:val="2"/>
          <w:sz w:val="32"/>
          <w:szCs w:val="32"/>
          <w:highlight w:val="none"/>
          <w:lang w:val="en-US" w:eastAsia="zh-CN" w:bidi="ar"/>
        </w:rPr>
        <w:t>政府采购执行率为0。本项满分3分，实际得分3分。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市应急管理局制定了</w:t>
      </w:r>
      <w:r>
        <w:rPr>
          <w:rFonts w:hint="eastAsia" w:ascii="仿宋" w:hAnsi="仿宋" w:eastAsia="仿宋" w:cs="仿宋"/>
          <w:color w:val="000000"/>
          <w:kern w:val="0"/>
          <w:sz w:val="32"/>
          <w:szCs w:val="32"/>
          <w:lang w:val="en-US" w:eastAsia="zh-CN" w:bidi="ar"/>
        </w:rPr>
        <w:t>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w:t>
      </w:r>
      <w:r>
        <w:rPr>
          <w:rFonts w:hint="eastAsia" w:ascii="仿宋" w:hAnsi="仿宋" w:eastAsia="仿宋" w:cs="仿宋"/>
          <w:color w:val="000000"/>
          <w:kern w:val="2"/>
          <w:sz w:val="32"/>
          <w:szCs w:val="32"/>
          <w:lang w:val="en-US" w:eastAsia="zh-CN" w:bidi="ar"/>
        </w:rPr>
        <w:t>本项满分3分，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rPr>
        <w:t>固定资产总额为2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914.</w:t>
      </w:r>
      <w:r>
        <w:rPr>
          <w:rFonts w:hint="eastAsia" w:ascii="仿宋" w:hAnsi="仿宋" w:eastAsia="仿宋" w:cs="仿宋"/>
          <w:sz w:val="32"/>
          <w:szCs w:val="32"/>
          <w:highlight w:val="none"/>
          <w:lang w:val="en-US" w:eastAsia="zh-CN"/>
        </w:rPr>
        <w:t>69万</w:t>
      </w:r>
      <w:r>
        <w:rPr>
          <w:rFonts w:hint="eastAsia" w:ascii="仿宋" w:hAnsi="仿宋" w:eastAsia="仿宋" w:cs="仿宋"/>
          <w:sz w:val="32"/>
          <w:szCs w:val="32"/>
          <w:highlight w:val="none"/>
        </w:rPr>
        <w:t>元，实际在用固定资产总额2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914.</w:t>
      </w:r>
      <w:r>
        <w:rPr>
          <w:rFonts w:hint="eastAsia" w:ascii="仿宋" w:hAnsi="仿宋" w:eastAsia="仿宋" w:cs="仿宋"/>
          <w:sz w:val="32"/>
          <w:szCs w:val="32"/>
          <w:highlight w:val="none"/>
          <w:lang w:val="en-US" w:eastAsia="zh-CN"/>
        </w:rPr>
        <w:t>69万</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3" w:name="_Toc18106"/>
      <w:r>
        <w:rPr>
          <w:rFonts w:hint="eastAsia" w:ascii="仿宋" w:hAnsi="仿宋" w:eastAsia="仿宋" w:cs="仿宋"/>
          <w:b/>
          <w:bCs/>
          <w:sz w:val="32"/>
          <w:szCs w:val="32"/>
          <w:highlight w:val="none"/>
          <w:lang w:bidi="ar"/>
        </w:rPr>
        <w:t>（三）项目产出情况</w:t>
      </w:r>
      <w:bookmarkEnd w:id="23"/>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13.70</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1"/>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3.52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3.52</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3.14</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13.70</w:t>
            </w:r>
          </w:p>
        </w:tc>
      </w:tr>
    </w:tbl>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87.88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分3.52</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87.88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分3.52</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87.88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本项满分4分，扣0.48分，实际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分3.52</w:t>
      </w:r>
      <w:r>
        <w:rPr>
          <w:rFonts w:hint="eastAsia" w:ascii="仿宋" w:hAnsi="仿宋" w:eastAsia="仿宋" w:cs="仿宋"/>
          <w:sz w:val="32"/>
          <w:szCs w:val="32"/>
          <w:highlight w:val="none"/>
        </w:rPr>
        <w:t>分。</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20.00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12月31日，11个重点项目均已完成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78.57</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扣0.86分，实际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分3.14</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4" w:name="_Toc25653"/>
      <w:r>
        <w:rPr>
          <w:rFonts w:hint="eastAsia" w:ascii="仿宋" w:hAnsi="仿宋" w:eastAsia="仿宋" w:cs="仿宋"/>
          <w:b/>
          <w:bCs/>
          <w:sz w:val="32"/>
          <w:szCs w:val="32"/>
          <w:highlight w:val="none"/>
          <w:lang w:bidi="ar"/>
        </w:rPr>
        <w:t>（四）部门效益情况</w:t>
      </w:r>
      <w:bookmarkEnd w:id="24"/>
    </w:p>
    <w:p>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15.69</w:t>
      </w:r>
      <w:r>
        <w:rPr>
          <w:rFonts w:hint="eastAsia" w:ascii="仿宋" w:hAnsi="仿宋" w:eastAsia="仿宋" w:cs="仿宋"/>
          <w:sz w:val="32"/>
          <w:szCs w:val="32"/>
          <w:highlight w:val="none"/>
        </w:rPr>
        <w:t>分。</w:t>
      </w:r>
    </w:p>
    <w:p>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1"/>
        <w:tblW w:w="8595" w:type="dxa"/>
        <w:jc w:val="center"/>
        <w:tblInd w:w="0"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vAlign w:val="center"/>
          </w:tcPr>
          <w:p>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vAlign w:val="center"/>
          </w:tcPr>
          <w:p>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vAlign w:val="center"/>
          </w:tcPr>
          <w:p>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vAlign w:val="center"/>
          </w:tcPr>
          <w:p>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4.69</w:t>
            </w:r>
          </w:p>
        </w:tc>
      </w:tr>
      <w:tr>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vAlign w:val="center"/>
          </w:tcPr>
          <w:p>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vAlign w:val="center"/>
          </w:tcPr>
          <w:p>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15.69</w:t>
            </w:r>
          </w:p>
        </w:tc>
      </w:tr>
    </w:tbl>
    <w:p>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lang w:bidi="ar"/>
        </w:rPr>
        <w:t>履行部门相关职责，</w:t>
      </w:r>
      <w:r>
        <w:rPr>
          <w:rFonts w:hint="eastAsia" w:ascii="仿宋" w:hAnsi="仿宋" w:eastAsia="仿宋" w:cs="仿宋"/>
          <w:sz w:val="32"/>
          <w:szCs w:val="32"/>
          <w:highlight w:val="none"/>
          <w:lang w:eastAsia="zh-CN" w:bidi="ar"/>
        </w:rPr>
        <w:t>2023年，先后组织召开安全防范部署会、重大事故隐患专项整治部署会等14次，认真研判分析安全生产形势，落实安全生产责任；制定印发《林芝市岁末年初安全生产重大隐患专项整治方案》《林芝市重大事故隐患专项整治2023年行动方案》《关于国庆节前后开展公共安全领域督导检查和重点建设项目安全生产联合执法检查工作方案的通知》等文件50余份，督促各单位落实安全生产责任，统筹抓好道路交通、建筑施工、铁路施工等领域安全风险防范和森林草原防灭火等工作，确保安全生产和防灾减灾形势总体稳定。扎实开展</w:t>
      </w:r>
      <w:r>
        <w:rPr>
          <w:rFonts w:hint="eastAsia" w:ascii="仿宋" w:hAnsi="仿宋" w:eastAsia="仿宋" w:cs="仿宋"/>
          <w:sz w:val="32"/>
          <w:szCs w:val="32"/>
          <w:highlight w:val="none"/>
          <w:lang w:val="zh-CN" w:eastAsia="zh-CN" w:bidi="ar"/>
        </w:rPr>
        <w:t>重大事故隐患专项整治行动</w:t>
      </w:r>
      <w:r>
        <w:rPr>
          <w:rFonts w:hint="eastAsia" w:ascii="仿宋" w:hAnsi="仿宋" w:eastAsia="仿宋" w:cs="仿宋"/>
          <w:sz w:val="32"/>
          <w:szCs w:val="32"/>
          <w:highlight w:val="none"/>
          <w:lang w:val="en-US" w:eastAsia="zh-CN" w:bidi="ar"/>
        </w:rPr>
        <w:t>。全市累计检查企业（单位）11644家次，帮扶指导重点企业1405余家次，排查重大隐患107个，已整改107个，警示约谈曝光189家次，责令停产停业整顿企业31家，及时消除一大批安全隐患。在全区率先出台《林芝市党政部门安全生产工作职责》《林芝市政府领导安全生产和防灾减灾职责任务清单》《林芝市关于进一步明确新兴行业领域安全监管职责分工的通知》《林芝市安全生产监管分级分类实施办法》等4项制度机制，安全监管责任进一步压实。</w:t>
      </w:r>
      <w:r>
        <w:rPr>
          <w:rFonts w:hint="eastAsia" w:ascii="仿宋" w:hAnsi="仿宋" w:eastAsia="仿宋" w:cs="仿宋"/>
          <w:color w:val="000000"/>
          <w:sz w:val="32"/>
          <w:szCs w:val="32"/>
          <w:highlight w:val="none"/>
          <w:shd w:val="clear" w:color="auto" w:fill="auto"/>
          <w:lang w:val="en-US" w:eastAsia="zh-CN" w:bidi="ar"/>
        </w:rPr>
        <w:t>社会效益较显著。本项</w:t>
      </w:r>
      <w:r>
        <w:rPr>
          <w:rFonts w:hint="eastAsia" w:ascii="仿宋" w:hAnsi="仿宋" w:eastAsia="仿宋" w:cs="仿宋"/>
          <w:sz w:val="32"/>
          <w:szCs w:val="32"/>
          <w:highlight w:val="none"/>
          <w:lang w:val="en-US" w:eastAsia="zh-CN" w:bidi="ar"/>
        </w:rPr>
        <w:t>满分8分，扣2分，实际得分6分。</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在全区率先成立应急管理专家库；率先在引导社会力量参与应急救援，2023年3月，我局与77251部队、 市边境管理支队、安能集团等12家应急救援联动单位签订了联动协议并进行授牌。三是着力打造全区航空应急救援示范区。立足林芝市创建全区改革开放先行区目标定位，本着“先行先试”的原则，着力发展航空应急救援能力建设。探索“直升机+消防员+吊桶”救援模式，成立全区首支航空救援分队，组织开展吊桶洒水、机降、索（滑）降等科目训练；制定了灾情侦察程序、航空救援任务执行程序等6条程序制度，逐步实现航空应急救援规范化；成功处置了“1·17”雪崩灾害救援、“应急使命—2023”抗震救灾演练、米林县加拉村侦察堰塞湖灾情巡查并转运被困群众16人等工作任务，全方位打造全区航空应急救援示范区。扎实开展教育培训，成功举办林芝市2023年烟花爆竹经营安全视频培训会、危化品企业安全生产标准化培训班、行政执法业务专题  培训班和应急救援能力提升培训班，累计280余人次参加培训，提升安全生产业务知识和应急处置能力。持续加强宣传力度，依托“5·12”防灾减灾周、安全生产月等活动载体，持续推进安全生产“五进”以及事故警示教育活动，道路交通、消防安全、危化、燃气安全、建筑施工、森林防火、旅游安全等重点领域开展安全生产宣传活动1530余场次，推送宣传短信350余万条，多角度、立体化宣传安全生产和防灾减灾知识</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较显著，本项满分7分，扣2分，实际得分5分。</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kern w:val="2"/>
          <w:sz w:val="32"/>
          <w:szCs w:val="32"/>
          <w:lang w:val="en-US" w:eastAsia="zh-CN" w:bidi="ar"/>
        </w:rPr>
        <w:t>市应急管理局</w:t>
      </w:r>
      <w:r>
        <w:rPr>
          <w:rFonts w:hint="eastAsia" w:ascii="仿宋" w:hAnsi="仿宋" w:eastAsia="仿宋" w:cs="仿宋"/>
          <w:sz w:val="32"/>
          <w:szCs w:val="32"/>
          <w:highlight w:val="none"/>
          <w:lang w:val="en-US" w:eastAsia="zh-CN" w:bidi="ar"/>
        </w:rPr>
        <w:t>社会满意度调查问卷显示满意度为93.84%。满分5分，扣0.31分，实际得分4.69分。</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5" w:name="_Toc24090"/>
      <w:r>
        <w:rPr>
          <w:rFonts w:hint="eastAsia" w:ascii="仿宋" w:hAnsi="仿宋" w:eastAsia="仿宋" w:cs="仿宋"/>
          <w:b/>
          <w:sz w:val="32"/>
          <w:szCs w:val="32"/>
          <w:highlight w:val="none"/>
        </w:rPr>
        <w:t>主要问题分析</w:t>
      </w:r>
      <w:bookmarkEnd w:id="25"/>
    </w:p>
    <w:p>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6" w:name="_Toc1488"/>
      <w:bookmarkStart w:id="27" w:name="_Toc4121"/>
      <w:r>
        <w:rPr>
          <w:rFonts w:hint="eastAsia" w:ascii="仿宋" w:hAnsi="仿宋" w:eastAsia="仿宋" w:cs="仿宋"/>
          <w:color w:val="000000"/>
          <w:kern w:val="0"/>
          <w:sz w:val="32"/>
          <w:szCs w:val="32"/>
          <w:highlight w:val="none"/>
          <w:lang w:val="en-US" w:eastAsia="zh-CN" w:bidi="ar"/>
        </w:rPr>
        <w:t>（一）</w:t>
      </w:r>
      <w:bookmarkEnd w:id="26"/>
      <w:r>
        <w:rPr>
          <w:rFonts w:hint="eastAsia" w:ascii="仿宋" w:hAnsi="仿宋" w:eastAsia="仿宋" w:cs="仿宋"/>
          <w:color w:val="000000"/>
          <w:kern w:val="0"/>
          <w:sz w:val="32"/>
          <w:szCs w:val="32"/>
          <w:highlight w:val="none"/>
          <w:lang w:val="en-US" w:eastAsia="zh-CN" w:bidi="ar"/>
        </w:rPr>
        <w:t>人员编制方面</w:t>
      </w:r>
      <w:bookmarkEnd w:id="27"/>
    </w:p>
    <w:p>
      <w:pPr>
        <w:keepNext w:val="0"/>
        <w:keepLines w:val="0"/>
        <w:pageBreakBefore w:val="0"/>
        <w:widowControl/>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color w:val="000000"/>
          <w:kern w:val="0"/>
          <w:sz w:val="32"/>
          <w:szCs w:val="32"/>
          <w:highlight w:val="yellow"/>
          <w:lang w:val="en-US" w:eastAsia="zh-CN" w:bidi="ar"/>
        </w:rPr>
      </w:pPr>
      <w:r>
        <w:rPr>
          <w:rFonts w:hint="eastAsia" w:ascii="仿宋" w:hAnsi="仿宋" w:eastAsia="仿宋" w:cs="仿宋"/>
          <w:color w:val="000000"/>
          <w:kern w:val="2"/>
          <w:sz w:val="32"/>
          <w:szCs w:val="32"/>
          <w:highlight w:val="none"/>
          <w:lang w:val="en-US" w:eastAsia="zh-CN" w:bidi="ar-SA"/>
        </w:rPr>
        <w:t>根据“三定方案”，</w:t>
      </w: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000000"/>
          <w:kern w:val="2"/>
          <w:sz w:val="32"/>
          <w:szCs w:val="32"/>
          <w:highlight w:val="none"/>
          <w:lang w:val="en-US" w:eastAsia="zh-CN" w:bidi="ar-SA"/>
        </w:rPr>
        <w:t>人员</w:t>
      </w:r>
      <w:r>
        <w:rPr>
          <w:rFonts w:hint="eastAsia" w:ascii="仿宋" w:hAnsi="仿宋" w:eastAsia="仿宋" w:cs="仿宋"/>
          <w:color w:val="000000"/>
          <w:kern w:val="0"/>
          <w:sz w:val="32"/>
          <w:szCs w:val="32"/>
          <w:highlight w:val="none"/>
          <w:lang w:val="en-US" w:eastAsia="zh-CN" w:bidi="ar"/>
        </w:rPr>
        <w:t>编制人数共计24名，</w:t>
      </w:r>
      <w:r>
        <w:rPr>
          <w:rFonts w:hint="eastAsia" w:ascii="仿宋" w:hAnsi="仿宋" w:eastAsia="仿宋" w:cs="仿宋"/>
          <w:b w:val="0"/>
          <w:bCs w:val="0"/>
          <w:i w:val="0"/>
          <w:iCs w:val="0"/>
          <w:caps w:val="0"/>
          <w:color w:val="000000"/>
          <w:spacing w:val="0"/>
          <w:kern w:val="0"/>
          <w:sz w:val="32"/>
          <w:szCs w:val="32"/>
          <w:highlight w:val="none"/>
          <w:lang w:val="en-US" w:eastAsia="zh-CN"/>
        </w:rPr>
        <w:t>2023年末在职职工人数共计39人</w:t>
      </w:r>
      <w:r>
        <w:rPr>
          <w:rFonts w:hint="eastAsia" w:ascii="仿宋" w:hAnsi="仿宋" w:eastAsia="仿宋" w:cs="仿宋"/>
          <w:b w:val="0"/>
          <w:bCs w:val="0"/>
          <w:i w:val="0"/>
          <w:iCs w:val="0"/>
          <w:caps w:val="0"/>
          <w:color w:val="000000"/>
          <w:spacing w:val="0"/>
          <w:kern w:val="0"/>
          <w:sz w:val="32"/>
          <w:szCs w:val="32"/>
          <w:lang w:val="en-US" w:eastAsia="zh-CN"/>
        </w:rPr>
        <w:t>。</w:t>
      </w:r>
      <w:r>
        <w:rPr>
          <w:rFonts w:hint="eastAsia" w:ascii="仿宋" w:hAnsi="仿宋" w:eastAsia="仿宋" w:cs="仿宋"/>
          <w:color w:val="000000"/>
          <w:kern w:val="2"/>
          <w:sz w:val="32"/>
          <w:szCs w:val="32"/>
          <w:highlight w:val="none"/>
          <w:lang w:val="en-US" w:eastAsia="zh-CN" w:bidi="ar-SA"/>
        </w:rPr>
        <w:t>编制</w:t>
      </w:r>
      <w:r>
        <w:rPr>
          <w:rFonts w:hint="eastAsia" w:ascii="仿宋" w:hAnsi="仿宋" w:eastAsia="仿宋" w:cs="仿宋"/>
          <w:color w:val="000000"/>
          <w:kern w:val="2"/>
          <w:sz w:val="32"/>
          <w:szCs w:val="32"/>
          <w:highlight w:val="none"/>
          <w:lang w:val="en-US" w:eastAsia="zh" w:bidi="ar-SA"/>
        </w:rPr>
        <w:t>存在</w:t>
      </w:r>
      <w:r>
        <w:rPr>
          <w:rFonts w:hint="eastAsia" w:ascii="仿宋" w:hAnsi="仿宋" w:eastAsia="仿宋" w:cs="仿宋"/>
          <w:color w:val="000000"/>
          <w:kern w:val="2"/>
          <w:sz w:val="32"/>
          <w:szCs w:val="32"/>
          <w:highlight w:val="none"/>
          <w:lang w:val="en-US" w:eastAsia="zh-CN" w:bidi="ar-SA"/>
        </w:rPr>
        <w:t>超编</w:t>
      </w:r>
      <w:r>
        <w:rPr>
          <w:rFonts w:hint="eastAsia" w:ascii="仿宋" w:hAnsi="仿宋" w:eastAsia="仿宋" w:cs="仿宋"/>
          <w:color w:val="000000"/>
          <w:kern w:val="2"/>
          <w:sz w:val="32"/>
          <w:szCs w:val="32"/>
          <w:highlight w:val="none"/>
          <w:lang w:val="en-US" w:eastAsia="zh" w:bidi="ar-SA"/>
        </w:rPr>
        <w:t>现象。</w:t>
      </w:r>
    </w:p>
    <w:p>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8" w:name="_Toc5891"/>
      <w:r>
        <w:rPr>
          <w:rFonts w:hint="eastAsia" w:ascii="仿宋" w:hAnsi="仿宋" w:eastAsia="仿宋" w:cs="仿宋"/>
          <w:color w:val="000000"/>
          <w:kern w:val="0"/>
          <w:sz w:val="32"/>
          <w:szCs w:val="32"/>
          <w:highlight w:val="none"/>
          <w:lang w:val="en-US" w:eastAsia="zh-CN" w:bidi="ar"/>
        </w:rPr>
        <w:t>（二）预算管理方面</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kern w:val="2"/>
          <w:sz w:val="32"/>
          <w:szCs w:val="32"/>
          <w:lang w:val="en-US" w:eastAsia="zh-CN" w:bidi="ar"/>
        </w:rPr>
        <w:t>市应急管理局</w:t>
      </w:r>
      <w:r>
        <w:rPr>
          <w:rFonts w:hint="eastAsia" w:ascii="仿宋" w:hAnsi="仿宋" w:eastAsia="仿宋" w:cs="仿宋"/>
          <w:color w:val="000000"/>
          <w:kern w:val="0"/>
          <w:sz w:val="32"/>
          <w:szCs w:val="32"/>
          <w:highlight w:val="none"/>
          <w:lang w:val="en-US" w:eastAsia="zh-CN" w:bidi="ar"/>
        </w:rPr>
        <w:t>的“三公经费”变动率为21.37%，三公经费变动率较大；</w:t>
      </w:r>
      <w:r>
        <w:rPr>
          <w:rFonts w:hint="eastAsia" w:ascii="仿宋" w:hAnsi="仿宋" w:eastAsia="仿宋" w:cs="仿宋"/>
          <w:b w:val="0"/>
          <w:bCs/>
          <w:color w:val="auto"/>
          <w:kern w:val="2"/>
          <w:sz w:val="32"/>
          <w:szCs w:val="32"/>
          <w:highlight w:val="none"/>
          <w:lang w:val="en-US" w:eastAsia="zh-CN" w:bidi="ar"/>
        </w:rPr>
        <w:t>预算完成率为29.51%，预算完成率低；</w:t>
      </w:r>
      <w:r>
        <w:rPr>
          <w:rFonts w:hint="eastAsia" w:ascii="仿宋" w:hAnsi="仿宋" w:eastAsia="仿宋" w:cs="仿宋"/>
          <w:color w:val="000000"/>
          <w:kern w:val="0"/>
          <w:sz w:val="32"/>
          <w:szCs w:val="32"/>
          <w:highlight w:val="none"/>
          <w:lang w:val="en-US" w:eastAsia="zh-CN" w:bidi="ar"/>
        </w:rPr>
        <w:t>预算调整率为81.60%，预算调整率过高；结转结余率70.49%，结转结余率高；结转结余变动率为626.20%，结转结余变动过高。</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9" w:name="_Toc30662"/>
      <w:r>
        <w:rPr>
          <w:rFonts w:hint="eastAsia" w:ascii="仿宋" w:hAnsi="仿宋" w:eastAsia="仿宋" w:cs="仿宋"/>
          <w:b/>
          <w:sz w:val="32"/>
          <w:szCs w:val="32"/>
          <w:highlight w:val="none"/>
        </w:rPr>
        <w:t>相关建议</w:t>
      </w:r>
      <w:bookmarkEnd w:id="29"/>
    </w:p>
    <w:p>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0" w:name="_Toc20589"/>
      <w:r>
        <w:rPr>
          <w:rFonts w:hint="eastAsia" w:ascii="仿宋" w:hAnsi="仿宋" w:eastAsia="仿宋" w:cs="仿宋"/>
          <w:sz w:val="32"/>
          <w:szCs w:val="32"/>
          <w:highlight w:val="none"/>
          <w:lang w:val="en-US" w:eastAsia="zh-CN" w:bidi="ar"/>
        </w:rPr>
        <w:t>人员编制方面</w:t>
      </w:r>
      <w:bookmarkEnd w:id="30"/>
    </w:p>
    <w:p>
      <w:pPr>
        <w:widowControl/>
        <w:numPr>
          <w:ilvl w:val="0"/>
          <w:numId w:val="0"/>
        </w:numPr>
        <w:spacing w:line="360" w:lineRule="auto"/>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严格实行编内进人。机关事业单位补充人员必须在编制限额内申报用人计划，严格控制超编进人，实行编制动态调整机制。</w:t>
      </w:r>
    </w:p>
    <w:p>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1" w:name="_Toc856"/>
      <w:r>
        <w:rPr>
          <w:rFonts w:hint="eastAsia" w:ascii="仿宋" w:hAnsi="仿宋" w:eastAsia="仿宋" w:cs="仿宋"/>
          <w:sz w:val="32"/>
          <w:szCs w:val="32"/>
          <w:highlight w:val="none"/>
          <w:lang w:val="en-US" w:eastAsia="zh-CN" w:bidi="ar"/>
        </w:rPr>
        <w:t>预算管理方面</w:t>
      </w:r>
      <w:bookmarkEnd w:id="31"/>
    </w:p>
    <w:p>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落实节约措施，加强“三公”经费支出管理，遵循经费预算从紧、学习考察从实、公务接待从俭、公车管理从严原则，确保三公经费科学配置、合理开支。定期分析汇总预算执行情况，及时发现预算执行中的问题，并采取措施加以解决。加强单位财务内控管理，对执行不规范等问题及时采取整改措施，提高预算执行的合规性。单位应依据职能、年度工作计划，结合上年度决算情况，科学、合理地编制本年度预算。准确测算项目预算情况，减少预算调整事项的发生。单位领导及预算编制人员应严肃对待预算工作，充分认识到预算编制的重要性，避免随意性和主观性。认真执行预算法等法律法规，严格按照预算编制程序进行，细化预算收支项目，提高预算编制的完整性、科学性和规范性。</w:t>
      </w:r>
    </w:p>
    <w:p>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2" w:name="_Toc27365"/>
      <w:r>
        <w:rPr>
          <w:rFonts w:hint="eastAsia" w:ascii="仿宋" w:hAnsi="仿宋" w:eastAsia="仿宋" w:cs="仿宋"/>
          <w:b/>
          <w:bCs/>
          <w:sz w:val="32"/>
          <w:szCs w:val="32"/>
          <w:highlight w:val="none"/>
          <w:lang w:val="en-US" w:eastAsia="zh-CN"/>
        </w:rPr>
        <w:t>其他需要说明的问题</w:t>
      </w:r>
      <w:bookmarkEnd w:id="32"/>
    </w:p>
    <w:p>
      <w:pPr>
        <w:pStyle w:val="9"/>
        <w:numPr>
          <w:ilvl w:val="0"/>
          <w:numId w:val="4"/>
        </w:numPr>
        <w:autoSpaceDE w:val="0"/>
        <w:spacing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市应急管理局</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pPr>
        <w:pStyle w:val="9"/>
        <w:autoSpaceDE w:val="0"/>
        <w:spacing w:line="360" w:lineRule="auto"/>
        <w:ind w:firstLine="643" w:firstLineChars="200"/>
        <w:outlineLvl w:val="0"/>
        <w:rPr>
          <w:rFonts w:hint="eastAsia" w:ascii="仿宋" w:hAnsi="仿宋" w:eastAsia="仿宋" w:cs="仿宋"/>
          <w:color w:val="000000"/>
          <w:sz w:val="32"/>
          <w:szCs w:val="32"/>
          <w:highlight w:val="none"/>
        </w:rPr>
      </w:pPr>
      <w:bookmarkStart w:id="33" w:name="_Toc20103"/>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3"/>
    </w:p>
    <w:p>
      <w:pPr>
        <w:tabs>
          <w:tab w:val="left" w:pos="5580"/>
          <w:tab w:val="left" w:pos="5760"/>
          <w:tab w:val="left" w:pos="5940"/>
        </w:tabs>
        <w:spacing w:line="360" w:lineRule="auto"/>
        <w:ind w:firstLine="800" w:firstLineChars="250"/>
        <w:rPr>
          <w:rFonts w:hint="eastAsia" w:ascii="仿宋" w:hAnsi="仿宋" w:eastAsia="仿宋" w:cs="仿宋"/>
          <w:color w:val="000000"/>
          <w:sz w:val="32"/>
          <w:szCs w:val="32"/>
          <w:highlight w:val="none"/>
        </w:rPr>
      </w:pPr>
    </w:p>
    <w:p>
      <w:pPr>
        <w:tabs>
          <w:tab w:val="left" w:pos="5580"/>
          <w:tab w:val="left" w:pos="5760"/>
          <w:tab w:val="left" w:pos="5940"/>
        </w:tabs>
        <w:spacing w:line="360" w:lineRule="auto"/>
        <w:ind w:firstLine="2240" w:firstLineChars="7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pPr>
        <w:tabs>
          <w:tab w:val="left" w:pos="5580"/>
          <w:tab w:val="left" w:pos="5760"/>
          <w:tab w:val="left" w:pos="5940"/>
        </w:tabs>
        <w:spacing w:line="360" w:lineRule="auto"/>
        <w:rPr>
          <w:rFonts w:hint="eastAsia" w:ascii="仿宋" w:hAnsi="仿宋" w:eastAsia="仿宋" w:cs="仿宋"/>
          <w:color w:val="000000"/>
          <w:sz w:val="32"/>
          <w:szCs w:val="32"/>
          <w:highlight w:val="none"/>
        </w:rPr>
      </w:pPr>
    </w:p>
    <w:p>
      <w:pPr>
        <w:tabs>
          <w:tab w:val="left" w:pos="5580"/>
          <w:tab w:val="left" w:pos="5760"/>
          <w:tab w:val="left" w:pos="5940"/>
        </w:tabs>
        <w:spacing w:line="360" w:lineRule="auto"/>
        <w:ind w:firstLine="7360" w:firstLineChars="2300"/>
        <w:rPr>
          <w:rFonts w:hint="eastAsia" w:ascii="仿宋" w:hAnsi="仿宋" w:eastAsia="仿宋" w:cs="仿宋"/>
          <w:color w:val="000000"/>
          <w:sz w:val="32"/>
          <w:szCs w:val="32"/>
          <w:highlight w:val="none"/>
        </w:rPr>
      </w:pPr>
    </w:p>
    <w:p>
      <w:pPr>
        <w:pStyle w:val="5"/>
        <w:tabs>
          <w:tab w:val="left" w:pos="3460"/>
          <w:tab w:val="center" w:pos="4590"/>
        </w:tabs>
        <w:spacing w:line="360" w:lineRule="auto"/>
        <w:rPr>
          <w:rFonts w:hint="eastAsia" w:ascii="仿宋" w:hAnsi="仿宋" w:eastAsia="仿宋" w:cs="仿宋"/>
          <w:color w:val="000000"/>
          <w:sz w:val="32"/>
          <w:szCs w:val="32"/>
          <w:highlight w:val="none"/>
        </w:rPr>
      </w:pPr>
    </w:p>
    <w:p>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二○二四年</w:t>
      </w:r>
      <w:r>
        <w:rPr>
          <w:rFonts w:hint="eastAsia" w:ascii="仿宋" w:hAnsi="仿宋" w:eastAsia="仿宋" w:cs="仿宋"/>
          <w:color w:val="000000"/>
          <w:sz w:val="32"/>
          <w:szCs w:val="32"/>
          <w:highlight w:val="none"/>
          <w:lang w:val="en-US" w:eastAsia="zh-CN"/>
        </w:rPr>
        <w:t>七</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二十六</w:t>
      </w:r>
      <w:r>
        <w:rPr>
          <w:rFonts w:hint="eastAsia" w:ascii="仿宋" w:hAnsi="仿宋" w:eastAsia="仿宋" w:cs="仿宋"/>
          <w:color w:val="000000"/>
          <w:sz w:val="32"/>
          <w:szCs w:val="32"/>
          <w:highlight w:val="none"/>
        </w:rPr>
        <w:t>日</w:t>
      </w:r>
    </w:p>
    <w:p/>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等线" w:hAnsi="等线" w:eastAsia="等线"/>
                              <w:b/>
                              <w:sz w:val="24"/>
                            </w:rPr>
                          </w:pPr>
                        </w:p>
                        <w:p>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pPr>
                            <w:pStyle w:val="5"/>
                            <w:jc w:val="center"/>
                            <w:rPr>
                              <w:rFonts w:hint="eastAsia"/>
                            </w:rPr>
                          </w:pPr>
                          <w:r>
                            <w:rPr>
                              <w:rFonts w:hint="eastAsia"/>
                            </w:rPr>
                            <w:t xml:space="preserve">    </w:t>
                          </w:r>
                        </w:p>
                        <w:p>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rAOmL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jc w:val="left"/>
                      <w:rPr>
                        <w:rFonts w:hint="eastAsia" w:ascii="等线" w:hAnsi="等线" w:eastAsia="等线"/>
                        <w:b/>
                        <w:sz w:val="24"/>
                      </w:rPr>
                    </w:pPr>
                  </w:p>
                  <w:p>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pPr>
                      <w:pStyle w:val="5"/>
                      <w:jc w:val="center"/>
                      <w:rPr>
                        <w:rFonts w:hint="eastAsia"/>
                      </w:rPr>
                    </w:pPr>
                    <w:r>
                      <w:rPr>
                        <w:rFonts w:hint="eastAsia"/>
                      </w:rPr>
                      <w:t xml:space="preserve">    </w:t>
                    </w:r>
                  </w:p>
                  <w:p>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210"/>
      <w:jc w:val="right"/>
      <w:rPr>
        <w:rFonts w:hint="eastAsia" w:ascii="微软雅黑" w:hAnsi="微软雅黑" w:eastAsia="微软雅黑"/>
        <w:i/>
        <w:szCs w:val="21"/>
      </w:rPr>
    </w:pPr>
  </w:p>
  <w:p>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YUiI1QAAAAYBAAAP&#10;AAAAAAAAAAEAIAAAACIAAABkcnMvZG93bnJldi54bWxQSwECFAAUAAAACACHTuJAHojGS+IBAACe&#10;AwAADgAAAAAAAAABACAAAAAkAQAAZHJzL2Uyb0RvYy54bWxQSwUGAAAAAAYABgBZAQAAeA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4D119C2"/>
    <w:rsid w:val="0F5D3B7D"/>
    <w:rsid w:val="15766F09"/>
    <w:rsid w:val="1A0D715C"/>
    <w:rsid w:val="1F894DF3"/>
    <w:rsid w:val="230D2DB7"/>
    <w:rsid w:val="2386634A"/>
    <w:rsid w:val="266F6BFE"/>
    <w:rsid w:val="2829181B"/>
    <w:rsid w:val="28343954"/>
    <w:rsid w:val="315D2224"/>
    <w:rsid w:val="32101BD0"/>
    <w:rsid w:val="3DFA5869"/>
    <w:rsid w:val="407C2CB3"/>
    <w:rsid w:val="4115326E"/>
    <w:rsid w:val="438C4A2F"/>
    <w:rsid w:val="466A0A44"/>
    <w:rsid w:val="46AF1972"/>
    <w:rsid w:val="49D1756E"/>
    <w:rsid w:val="4D1D5DA7"/>
    <w:rsid w:val="4D32161E"/>
    <w:rsid w:val="4F145191"/>
    <w:rsid w:val="5012721B"/>
    <w:rsid w:val="51600EAB"/>
    <w:rsid w:val="576E537A"/>
    <w:rsid w:val="5F3B6F60"/>
    <w:rsid w:val="665B64BB"/>
    <w:rsid w:val="67413AA2"/>
    <w:rsid w:val="684B7DC4"/>
    <w:rsid w:val="6A744225"/>
    <w:rsid w:val="6C943789"/>
    <w:rsid w:val="6DB87213"/>
    <w:rsid w:val="6EA05009"/>
    <w:rsid w:val="71185AFB"/>
    <w:rsid w:val="783F302F"/>
    <w:rsid w:val="79FF1A29"/>
    <w:rsid w:val="7B7E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0"/>
    <w:qFormat/>
    <w:uiPriority w:val="0"/>
    <w:rPr>
      <w:rFonts w:hint="eastAsia" w:ascii="宋体" w:hAnsi="宋体" w:eastAsia="宋体" w:cs="宋体"/>
      <w:color w:val="000000"/>
      <w:sz w:val="20"/>
      <w:szCs w:val="20"/>
    </w:rPr>
  </w:style>
  <w:style w:type="character" w:customStyle="1" w:styleId="15">
    <w:name w:val="16"/>
    <w:basedOn w:val="10"/>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11863</Words>
  <Characters>12720</Characters>
  <Lines>0</Lines>
  <Paragraphs>0</Paragraphs>
  <TotalTime>6</TotalTime>
  <ScaleCrop>false</ScaleCrop>
  <LinksUpToDate>false</LinksUpToDate>
  <CharactersWithSpaces>12891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723132</cp:lastModifiedBy>
  <dcterms:modified xsi:type="dcterms:W3CDTF">2025-09-22T04:16:21Z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CD1868D94ED549D9B3A4F34164C58CFD_11</vt:lpwstr>
  </property>
</Properties>
</file>