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EED6B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3月9日17时50分许，西藏自治区林芝市巴宜区白玛岗街道巴宜区众源汇茶楼发生一起触电事故，该事故造成1人电击损伤，抢救无效死亡，事故造成直接经济损失约60万元。经巴宜区人民政府事故调查组认定该起事故为一般生产安全责任事故，林芝市巴宜区人民政府批复的《巴宜区白玛岗街道巴宜区众源汇茶楼“3·09”一般触电事故调查报告》认定巴宜区众源汇茶楼电气维修作业的承揽人代廷洪对事故发生负有责任，建议给予行政处罚。2026年7月13日</w:t>
      </w:r>
      <w:r>
        <w:rPr>
          <w:rFonts w:hint="eastAsia" w:ascii="仿宋_GB2312" w:hAnsi="仿宋_GB2312" w:eastAsia="仿宋_GB2312" w:cs="仿宋_GB2312"/>
          <w:sz w:val="32"/>
          <w:szCs w:val="32"/>
        </w:rPr>
        <w:t>林芝市应急管理局</w:t>
      </w:r>
      <w:r>
        <w:rPr>
          <w:rFonts w:hint="eastAsia" w:ascii="仿宋_GB2312" w:hAnsi="仿宋_GB2312" w:eastAsia="仿宋_GB2312" w:cs="仿宋_GB2312"/>
          <w:sz w:val="32"/>
          <w:szCs w:val="32"/>
          <w:lang w:val="en-US" w:eastAsia="zh-CN"/>
        </w:rPr>
        <w:t>立案调查，经调查：</w:t>
      </w:r>
      <w:bookmarkStart w:id="0" w:name="_GoBack"/>
      <w:bookmarkEnd w:id="0"/>
    </w:p>
    <w:p w14:paraId="7479299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承揽人代廷洪属该经营体的个人经营投资人。众源汇电气维修作业承揽人代廷洪在巴宜区众源汇茶楼（个体工商户）“3·9”一般生产安全事故中存在：未按法律法规要求保证安全生产所必需的资金投入，致使作业现场不具备安全作业条件，例如：未为自身及所带作业人员配备绝缘鞋、绝缘手套等劳动防护用品。其行为违反了《中华人民共和国安全生产法》第二十三条第一款，依据《中华人民共和国安全生产法》第九十三条第二款以及《生产安全事故罚款处罚规定》第二十一条第一项之规定；参照应急管理部《应急管理行政处罚裁量权基准》（2024年）裁量细则第10条A裁量阶次，对众源汇电气维修作业承揽人代廷洪作出处人民币21000元（贰万壹仟元整）罚款的行政处罚。</w:t>
      </w:r>
    </w:p>
    <w:p w14:paraId="2A88F5F4">
      <w:pPr>
        <w:ind w:firstLine="640" w:firstLineChars="200"/>
        <w:jc w:val="center"/>
        <w:rPr>
          <w:rFonts w:hint="eastAsia" w:ascii="方正小标宋简体" w:hAnsi="方正小标宋简体" w:eastAsia="方正小标宋简体" w:cs="方正小标宋简体"/>
          <w:b w:val="0"/>
          <w:bCs w:val="0"/>
          <w:sz w:val="32"/>
          <w:szCs w:val="32"/>
          <w:lang w:val="en-US" w:eastAsia="zh-CN"/>
        </w:rPr>
      </w:pPr>
    </w:p>
    <w:p w14:paraId="59437C48">
      <w:pPr>
        <w:ind w:firstLine="640" w:firstLineChars="200"/>
        <w:jc w:val="center"/>
        <w:rPr>
          <w:rFonts w:hint="eastAsia" w:ascii="方正小标宋简体" w:hAnsi="方正小标宋简体" w:eastAsia="方正小标宋简体" w:cs="方正小标宋简体"/>
          <w:b w:val="0"/>
          <w:bCs w:val="0"/>
          <w:sz w:val="32"/>
          <w:szCs w:val="32"/>
          <w:lang w:val="en-US" w:eastAsia="zh-CN"/>
        </w:rPr>
      </w:pPr>
      <w:r>
        <w:rPr>
          <w:rFonts w:hint="eastAsia" w:ascii="方正小标宋简体" w:hAnsi="方正小标宋简体" w:eastAsia="方正小标宋简体" w:cs="方正小标宋简体"/>
          <w:b w:val="0"/>
          <w:bCs w:val="0"/>
          <w:sz w:val="32"/>
          <w:szCs w:val="32"/>
          <w:lang w:val="en-US" w:eastAsia="zh-CN"/>
        </w:rPr>
        <w:t>行政处罚公开信息表</w:t>
      </w:r>
    </w:p>
    <w:tbl>
      <w:tblPr>
        <w:tblStyle w:val="8"/>
        <w:tblW w:w="14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1"/>
        <w:gridCol w:w="1359"/>
        <w:gridCol w:w="1375"/>
        <w:gridCol w:w="1084"/>
        <w:gridCol w:w="1210"/>
        <w:gridCol w:w="2900"/>
        <w:gridCol w:w="2128"/>
        <w:gridCol w:w="1389"/>
        <w:gridCol w:w="883"/>
        <w:gridCol w:w="856"/>
      </w:tblGrid>
      <w:tr w14:paraId="6D6BB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2" w:hRule="atLeast"/>
        </w:trPr>
        <w:tc>
          <w:tcPr>
            <w:tcW w:w="1171" w:type="dxa"/>
          </w:tcPr>
          <w:p w14:paraId="05C5F752">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案件</w:t>
            </w:r>
          </w:p>
          <w:p w14:paraId="49E40423">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名称</w:t>
            </w:r>
          </w:p>
        </w:tc>
        <w:tc>
          <w:tcPr>
            <w:tcW w:w="1359" w:type="dxa"/>
          </w:tcPr>
          <w:p w14:paraId="1DB5F3ED">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单位</w:t>
            </w:r>
          </w:p>
          <w:p w14:paraId="3A51F019">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（个人）</w:t>
            </w:r>
          </w:p>
        </w:tc>
        <w:tc>
          <w:tcPr>
            <w:tcW w:w="1375" w:type="dxa"/>
          </w:tcPr>
          <w:p w14:paraId="2856F634">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统一社会</w:t>
            </w:r>
          </w:p>
          <w:p w14:paraId="04C916DB">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信用代码</w:t>
            </w:r>
          </w:p>
        </w:tc>
        <w:tc>
          <w:tcPr>
            <w:tcW w:w="1084" w:type="dxa"/>
          </w:tcPr>
          <w:p w14:paraId="052B0CD4">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法定代</w:t>
            </w:r>
          </w:p>
          <w:p w14:paraId="7877B37F">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表  人</w:t>
            </w:r>
          </w:p>
        </w:tc>
        <w:tc>
          <w:tcPr>
            <w:tcW w:w="1210" w:type="dxa"/>
          </w:tcPr>
          <w:p w14:paraId="2DEE48B4">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处罚</w:t>
            </w:r>
          </w:p>
          <w:p w14:paraId="4505A06C">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决定书</w:t>
            </w:r>
          </w:p>
        </w:tc>
        <w:tc>
          <w:tcPr>
            <w:tcW w:w="2900" w:type="dxa"/>
          </w:tcPr>
          <w:p w14:paraId="797C9226">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违法</w:t>
            </w:r>
          </w:p>
          <w:p w14:paraId="7B3A8B29">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行为</w:t>
            </w:r>
          </w:p>
        </w:tc>
        <w:tc>
          <w:tcPr>
            <w:tcW w:w="2128" w:type="dxa"/>
          </w:tcPr>
          <w:p w14:paraId="63DC20CB">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处罚</w:t>
            </w:r>
          </w:p>
          <w:p w14:paraId="419C29E1">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依据</w:t>
            </w:r>
          </w:p>
        </w:tc>
        <w:tc>
          <w:tcPr>
            <w:tcW w:w="1389" w:type="dxa"/>
          </w:tcPr>
          <w:p w14:paraId="69CD4F4B">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行政处罚决定</w:t>
            </w:r>
          </w:p>
        </w:tc>
        <w:tc>
          <w:tcPr>
            <w:tcW w:w="883" w:type="dxa"/>
          </w:tcPr>
          <w:p w14:paraId="40A77F2E">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处罚时间</w:t>
            </w:r>
          </w:p>
        </w:tc>
        <w:tc>
          <w:tcPr>
            <w:tcW w:w="856" w:type="dxa"/>
          </w:tcPr>
          <w:p w14:paraId="752D0AF6">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处罚</w:t>
            </w:r>
          </w:p>
          <w:p w14:paraId="4F30B07A">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机关</w:t>
            </w:r>
          </w:p>
        </w:tc>
      </w:tr>
      <w:tr w14:paraId="3BE5A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4" w:hRule="atLeast"/>
        </w:trPr>
        <w:tc>
          <w:tcPr>
            <w:tcW w:w="1171" w:type="dxa"/>
            <w:vAlign w:val="center"/>
          </w:tcPr>
          <w:p w14:paraId="4A295658">
            <w:pPr>
              <w:jc w:val="center"/>
              <w:rPr>
                <w:rFonts w:hint="eastAsia" w:ascii="仿宋_GB2312" w:hAnsi="仿宋_GB2312" w:eastAsia="仿宋_GB2312" w:cs="仿宋_GB2312"/>
                <w:sz w:val="24"/>
                <w:szCs w:val="24"/>
              </w:rPr>
            </w:pPr>
          </w:p>
          <w:p w14:paraId="799E8A0D">
            <w:pPr>
              <w:jc w:val="both"/>
              <w:rPr>
                <w:rFonts w:hint="eastAsia" w:ascii="仿宋_GB2312" w:hAnsi="仿宋_GB2312" w:eastAsia="仿宋_GB2312" w:cs="仿宋_GB2312"/>
                <w:sz w:val="24"/>
                <w:szCs w:val="24"/>
              </w:rPr>
            </w:pPr>
          </w:p>
          <w:p w14:paraId="66B0A01A">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巴宜区众源汇茶楼（个体工商户）“3·9”一般生产安全事故</w:t>
            </w:r>
          </w:p>
        </w:tc>
        <w:tc>
          <w:tcPr>
            <w:tcW w:w="1359" w:type="dxa"/>
            <w:vAlign w:val="center"/>
          </w:tcPr>
          <w:p w14:paraId="2A843736">
            <w:pPr>
              <w:jc w:val="both"/>
              <w:rPr>
                <w:rFonts w:hint="eastAsia" w:ascii="仿宋_GB2312" w:hAnsi="仿宋_GB2312" w:eastAsia="仿宋_GB2312" w:cs="仿宋_GB2312"/>
                <w:sz w:val="24"/>
                <w:szCs w:val="24"/>
              </w:rPr>
            </w:pPr>
          </w:p>
          <w:p w14:paraId="3DDB8434">
            <w:pPr>
              <w:jc w:val="center"/>
              <w:rPr>
                <w:rFonts w:hint="eastAsia" w:ascii="仿宋_GB2312" w:hAnsi="仿宋_GB2312" w:eastAsia="仿宋_GB2312" w:cs="仿宋_GB2312"/>
                <w:sz w:val="24"/>
                <w:szCs w:val="24"/>
              </w:rPr>
            </w:pPr>
            <w:r>
              <w:rPr>
                <w:rFonts w:hint="eastAsia" w:ascii="仿宋_GB2312" w:hAnsi="仿宋" w:eastAsia="仿宋_GB2312" w:cs="仿宋"/>
                <w:sz w:val="24"/>
                <w:szCs w:val="24"/>
                <w:u w:val="none"/>
                <w:lang w:val="en-US" w:eastAsia="zh-CN"/>
              </w:rPr>
              <w:t>代廷洪</w:t>
            </w:r>
          </w:p>
        </w:tc>
        <w:tc>
          <w:tcPr>
            <w:tcW w:w="1375" w:type="dxa"/>
            <w:vAlign w:val="center"/>
          </w:tcPr>
          <w:p w14:paraId="5CE6AAD8">
            <w:pPr>
              <w:jc w:val="center"/>
              <w:rPr>
                <w:rFonts w:hint="default" w:eastAsiaTheme="minorEastAsia"/>
                <w:vertAlign w:val="baseline"/>
                <w:lang w:val="en-US" w:eastAsia="zh-CN"/>
              </w:rPr>
            </w:pPr>
          </w:p>
        </w:tc>
        <w:tc>
          <w:tcPr>
            <w:tcW w:w="1084" w:type="dxa"/>
            <w:vAlign w:val="center"/>
          </w:tcPr>
          <w:p w14:paraId="2493085F">
            <w:pPr>
              <w:jc w:val="both"/>
              <w:rPr>
                <w:rFonts w:hint="eastAsia" w:ascii="仿宋_GB2312" w:hAnsi="仿宋_GB2312" w:eastAsia="仿宋_GB2312" w:cs="仿宋_GB2312"/>
                <w:sz w:val="24"/>
                <w:szCs w:val="24"/>
                <w:lang w:val="en-US" w:eastAsia="zh-CN"/>
              </w:rPr>
            </w:pPr>
          </w:p>
          <w:p w14:paraId="509A103A">
            <w:pPr>
              <w:jc w:val="center"/>
              <w:rPr>
                <w:rFonts w:hint="default" w:ascii="仿宋_GB2312" w:hAnsi="仿宋_GB2312" w:eastAsia="仿宋_GB2312" w:cs="仿宋_GB2312"/>
                <w:sz w:val="24"/>
                <w:szCs w:val="24"/>
                <w:lang w:val="en-US" w:eastAsia="zh-CN"/>
              </w:rPr>
            </w:pPr>
          </w:p>
        </w:tc>
        <w:tc>
          <w:tcPr>
            <w:tcW w:w="1210" w:type="dxa"/>
            <w:vAlign w:val="center"/>
          </w:tcPr>
          <w:p w14:paraId="35CFF389">
            <w:pPr>
              <w:jc w:val="center"/>
              <w:rPr>
                <w:rFonts w:hint="eastAsia" w:ascii="仿宋_GB2312" w:hAnsi="仿宋_GB2312" w:eastAsia="仿宋_GB2312" w:cs="仿宋_GB2312"/>
                <w:sz w:val="24"/>
                <w:szCs w:val="24"/>
                <w:lang w:val="en-US" w:eastAsia="zh-CN"/>
              </w:rPr>
            </w:pPr>
          </w:p>
          <w:p w14:paraId="4177D77D">
            <w:pPr>
              <w:jc w:val="center"/>
              <w:rPr>
                <w:rFonts w:hint="eastAsia" w:ascii="仿宋_GB2312" w:hAnsi="仿宋_GB2312" w:eastAsia="仿宋_GB2312" w:cs="仿宋_GB2312"/>
                <w:sz w:val="24"/>
                <w:szCs w:val="24"/>
                <w:lang w:val="en-US" w:eastAsia="zh-CN"/>
              </w:rPr>
            </w:pPr>
          </w:p>
          <w:p w14:paraId="07318258">
            <w:pPr>
              <w:jc w:val="both"/>
              <w:rPr>
                <w:rFonts w:hint="eastAsia" w:ascii="仿宋_GB2312" w:hAnsi="仿宋_GB2312" w:eastAsia="仿宋_GB2312" w:cs="仿宋_GB2312"/>
                <w:sz w:val="24"/>
                <w:szCs w:val="24"/>
                <w:lang w:val="en-US" w:eastAsia="zh-CN"/>
              </w:rPr>
            </w:pPr>
          </w:p>
          <w:p w14:paraId="2644A3F2">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（林市）应急罚〔2026〕06号</w:t>
            </w:r>
          </w:p>
          <w:p w14:paraId="61490C38">
            <w:pPr>
              <w:jc w:val="center"/>
              <w:rPr>
                <w:rFonts w:hint="eastAsia" w:ascii="仿宋_GB2312" w:hAnsi="仿宋_GB2312" w:eastAsia="仿宋_GB2312" w:cs="仿宋_GB2312"/>
                <w:sz w:val="24"/>
                <w:szCs w:val="24"/>
                <w:lang w:val="en-US" w:eastAsia="zh-CN"/>
              </w:rPr>
            </w:pPr>
          </w:p>
        </w:tc>
        <w:tc>
          <w:tcPr>
            <w:tcW w:w="2900" w:type="dxa"/>
            <w:vAlign w:val="center"/>
          </w:tcPr>
          <w:p w14:paraId="4015D430">
            <w:pPr>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4"/>
                <w:szCs w:val="24"/>
                <w:lang w:val="en-US" w:eastAsia="zh-CN"/>
              </w:rPr>
              <w:t>巴宜区众源汇茶楼电气维修作业承揽人代廷洪，未按法律法规要求保证安全生产所必需的资金投入，致使作业现场不具备安全作业条件。其行为违反了《中华人民共和国安全生产法》第二十三条第一款的规定。</w:t>
            </w:r>
          </w:p>
        </w:tc>
        <w:tc>
          <w:tcPr>
            <w:tcW w:w="2128" w:type="dxa"/>
            <w:vAlign w:val="center"/>
          </w:tcPr>
          <w:p w14:paraId="46FE40F8">
            <w:pPr>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依据《中华人民共和国安全生产法》第九十三条第二款以及《生产安全事故罚款处罚规定》第二十一条第一项之规定；参照应急管理部《应急管理行政处罚裁量权基准》（2024年）裁量细则第10条A裁量阶次。</w:t>
            </w:r>
          </w:p>
        </w:tc>
        <w:tc>
          <w:tcPr>
            <w:tcW w:w="1389" w:type="dxa"/>
            <w:vAlign w:val="center"/>
          </w:tcPr>
          <w:p w14:paraId="0EB859E6">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对众源汇电气维修作业承揽人代廷洪处人民币21000元（贰万壹仟元整）的罚款。</w:t>
            </w:r>
          </w:p>
        </w:tc>
        <w:tc>
          <w:tcPr>
            <w:tcW w:w="883" w:type="dxa"/>
            <w:vAlign w:val="center"/>
          </w:tcPr>
          <w:p w14:paraId="6DC7DEC4">
            <w:pPr>
              <w:jc w:val="both"/>
              <w:rPr>
                <w:rFonts w:hint="eastAsia" w:ascii="仿宋_GB2312" w:hAnsi="仿宋_GB2312" w:eastAsia="仿宋_GB2312" w:cs="仿宋_GB2312"/>
                <w:sz w:val="24"/>
                <w:szCs w:val="24"/>
                <w:lang w:val="en-US" w:eastAsia="zh-CN"/>
              </w:rPr>
            </w:pPr>
          </w:p>
          <w:p w14:paraId="19F24EA1">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2026年10月23日</w:t>
            </w:r>
          </w:p>
        </w:tc>
        <w:tc>
          <w:tcPr>
            <w:tcW w:w="856" w:type="dxa"/>
            <w:vAlign w:val="center"/>
          </w:tcPr>
          <w:p w14:paraId="5F0C1A56">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林芝</w:t>
            </w:r>
          </w:p>
          <w:p w14:paraId="29F85B1F">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市应</w:t>
            </w:r>
          </w:p>
          <w:p w14:paraId="56EE2B47">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急管</w:t>
            </w:r>
          </w:p>
          <w:p w14:paraId="772E2FDD">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理局</w:t>
            </w:r>
          </w:p>
        </w:tc>
      </w:tr>
    </w:tbl>
    <w:p w14:paraId="2F7065EB"/>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DD1754"/>
    <w:rsid w:val="2D421839"/>
    <w:rsid w:val="2FF049F4"/>
    <w:rsid w:val="451C5E07"/>
    <w:rsid w:val="51DD1754"/>
    <w:rsid w:val="5AD808D9"/>
    <w:rsid w:val="68F6221F"/>
    <w:rsid w:val="73951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spacing w:after="0"/>
      <w:ind w:firstLine="420" w:firstLineChars="200"/>
    </w:pPr>
  </w:style>
  <w:style w:type="paragraph" w:styleId="3">
    <w:name w:val="Body Text Indent"/>
    <w:basedOn w:val="1"/>
    <w:next w:val="4"/>
    <w:qFormat/>
    <w:uiPriority w:val="0"/>
    <w:pPr>
      <w:spacing w:after="120"/>
      <w:ind w:left="420" w:leftChars="200"/>
    </w:pPr>
  </w:style>
  <w:style w:type="paragraph" w:styleId="4">
    <w:name w:val="Normal Indent"/>
    <w:basedOn w:val="1"/>
    <w:qFormat/>
    <w:uiPriority w:val="1"/>
    <w:pPr>
      <w:ind w:firstLine="420" w:firstLineChars="200"/>
    </w:pPr>
    <w:rPr>
      <w:rFonts w:eastAsia="仿宋"/>
      <w:sz w:val="32"/>
    </w:rPr>
  </w:style>
  <w:style w:type="paragraph" w:styleId="5">
    <w:name w:val="Body Text"/>
    <w:basedOn w:val="1"/>
    <w:qFormat/>
    <w:uiPriority w:val="0"/>
    <w:pPr>
      <w:spacing w:after="120" w:afterLines="0" w:afterAutospacing="0"/>
    </w:pPr>
  </w:style>
  <w:style w:type="paragraph" w:styleId="6">
    <w:name w:val="Body Text First Indent"/>
    <w:basedOn w:val="5"/>
    <w:qFormat/>
    <w:uiPriority w:val="0"/>
    <w:pPr>
      <w:ind w:firstLine="420" w:firstLineChars="10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857</Words>
  <Characters>894</Characters>
  <Lines>0</Lines>
  <Paragraphs>0</Paragraphs>
  <TotalTime>0</TotalTime>
  <ScaleCrop>false</ScaleCrop>
  <LinksUpToDate>false</LinksUpToDate>
  <CharactersWithSpaces>896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2026-10-26T04:00:00Z</dcterms:created>
  <dc:creator>贪恋～你</dc:creator>
  <cp:lastModifiedBy>贪恋～你</cp:lastModifiedBy>
  <dcterms:modified xsi:type="dcterms:W3CDTF">2026-10-26T09:37:54Z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291D9473E4EA45FD8236EB6E29E50E38_11</vt:lpwstr>
  </property>
  <property fmtid="{D5CDD505-2E9C-101B-9397-08002B2CF9AE}" pid="4" name="KSOTemplateDocerSaveRecord">
    <vt:lpwstr>eyJoZGlkIjoiY2FiMzY2YjgyZDYxM2I5YjA0MGEwMGZjNWFjNjM5N2EiLCJ1c2VySWQiOiI2MjEyMzI5NzEifQ==</vt:lpwstr>
  </property>
</Properties>
</file>