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C6B03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2026年3月9日17时50分许，西藏自治区林芝市巴宜区白玛岗街道巴宜区众源汇茶楼发生一起触电事故，该事故造成1人电击损伤，抢救</w:t>
      </w:r>
      <w:bookmarkStart w:id="0" w:name="_GoBack"/>
      <w:bookmarkEnd w:id="0"/>
      <w:r>
        <w:rPr>
          <w:rFonts w:hint="eastAsia" w:ascii="仿宋_GB2312" w:hAnsi="仿宋_GB2312" w:eastAsia="仿宋_GB2312" w:cs="仿宋_GB2312"/>
          <w:sz w:val="32"/>
          <w:szCs w:val="32"/>
          <w:lang w:val="en-US" w:eastAsia="zh-CN"/>
        </w:rPr>
        <w:t>无效死亡，事故造成直接经济损失约60万元。经巴宜区人民政府事故调查组认定该起事故为一般生产安全责任事故，林芝市巴宜区人民政府批复的《巴宜区白玛岗街道巴宜区众源汇茶楼“3·09”一般触电事故调查报告》认定巴宜区众源汇茶楼电气维修作业的发包人吴芳对事故发生负有责任，建议给予行政处罚。我局于2026年7月13日立案调查，经调查：</w:t>
      </w:r>
    </w:p>
    <w:p w14:paraId="2A88F5F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方正小标宋简体" w:hAnsi="方正小标宋简体" w:eastAsia="方正小标宋简体" w:cs="方正小标宋简体"/>
          <w:b w:val="0"/>
          <w:bCs w:val="0"/>
          <w:sz w:val="32"/>
          <w:szCs w:val="32"/>
          <w:lang w:val="en-US" w:eastAsia="zh-CN"/>
        </w:rPr>
      </w:pPr>
      <w:r>
        <w:rPr>
          <w:rFonts w:hint="eastAsia" w:ascii="仿宋_GB2312" w:hAnsi="仿宋_GB2312" w:eastAsia="仿宋_GB2312" w:cs="仿宋_GB2312"/>
          <w:sz w:val="32"/>
          <w:szCs w:val="32"/>
          <w:lang w:val="en-US" w:eastAsia="zh-CN"/>
        </w:rPr>
        <w:t>巴宜区众源汇经营者吴芳属该经营体的个人经营投资人。众源汇茶楼经营者吴芳在巴宜区众源汇茶楼（个体工商户）“3·9”一般生产安全事故中存在：一是未按法律法规要求保证安全生产所必需的资金投入，致使作业现场不具备安全作业条件，例如：未向作业人员提供绝缘鞋、绝缘手套等劳动防护用品；二是现场安全监督检查不到位，例如：未采取断电措施且未及时发现作业人员缺少安全防护措施。其行为违反了《中华人民共和国安全生产法》第二十三条第一款，依据《中华人民共和国安全生产法》第九十三条第二款以及《生产安全事故罚款处罚规定》第二十一条第一项之规定；参照应急管理部《应急管理行政处罚裁量权基准》（2024年）裁量细则第10条A裁量阶次，对巴宜区众源汇茶楼（个体工商户）经营者吴芳作出处人民币21000（贰万壹仟元整）罚款的行政处罚。</w:t>
      </w:r>
    </w:p>
    <w:p w14:paraId="59437C48">
      <w:pPr>
        <w:ind w:firstLine="640" w:firstLineChars="200"/>
        <w:jc w:val="center"/>
        <w:rPr>
          <w:rFonts w:hint="eastAsia" w:ascii="方正小标宋简体" w:hAnsi="方正小标宋简体" w:eastAsia="方正小标宋简体" w:cs="方正小标宋简体"/>
          <w:b w:val="0"/>
          <w:bCs w:val="0"/>
          <w:sz w:val="32"/>
          <w:szCs w:val="32"/>
          <w:lang w:val="en-US" w:eastAsia="zh-CN"/>
        </w:rPr>
      </w:pPr>
      <w:r>
        <w:rPr>
          <w:rFonts w:hint="eastAsia" w:ascii="方正小标宋简体" w:hAnsi="方正小标宋简体" w:eastAsia="方正小标宋简体" w:cs="方正小标宋简体"/>
          <w:b w:val="0"/>
          <w:bCs w:val="0"/>
          <w:sz w:val="32"/>
          <w:szCs w:val="32"/>
          <w:lang w:val="en-US" w:eastAsia="zh-CN"/>
        </w:rPr>
        <w:t>行政处罚公开信息表</w:t>
      </w:r>
    </w:p>
    <w:tbl>
      <w:tblPr>
        <w:tblStyle w:val="8"/>
        <w:tblW w:w="14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1359"/>
        <w:gridCol w:w="1375"/>
        <w:gridCol w:w="1084"/>
        <w:gridCol w:w="1210"/>
        <w:gridCol w:w="2900"/>
        <w:gridCol w:w="2128"/>
        <w:gridCol w:w="1389"/>
        <w:gridCol w:w="883"/>
        <w:gridCol w:w="856"/>
      </w:tblGrid>
      <w:tr w14:paraId="6D6B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trPr>
        <w:tc>
          <w:tcPr>
            <w:tcW w:w="1171" w:type="dxa"/>
          </w:tcPr>
          <w:p w14:paraId="05C5F752">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案件</w:t>
            </w:r>
          </w:p>
          <w:p w14:paraId="49E40423">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名称</w:t>
            </w:r>
          </w:p>
        </w:tc>
        <w:tc>
          <w:tcPr>
            <w:tcW w:w="1359" w:type="dxa"/>
          </w:tcPr>
          <w:p w14:paraId="1DB5F3ED">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单位</w:t>
            </w:r>
          </w:p>
          <w:p w14:paraId="3A51F019">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（个人）</w:t>
            </w:r>
          </w:p>
        </w:tc>
        <w:tc>
          <w:tcPr>
            <w:tcW w:w="1375" w:type="dxa"/>
          </w:tcPr>
          <w:p w14:paraId="2856F63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统一社会</w:t>
            </w:r>
          </w:p>
          <w:p w14:paraId="04C916D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信用代码</w:t>
            </w:r>
          </w:p>
        </w:tc>
        <w:tc>
          <w:tcPr>
            <w:tcW w:w="1084" w:type="dxa"/>
          </w:tcPr>
          <w:p w14:paraId="052B0CD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法定代</w:t>
            </w:r>
          </w:p>
          <w:p w14:paraId="7877B37F">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表  人</w:t>
            </w:r>
          </w:p>
        </w:tc>
        <w:tc>
          <w:tcPr>
            <w:tcW w:w="1210" w:type="dxa"/>
          </w:tcPr>
          <w:p w14:paraId="2DEE48B4">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505A06C">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决定书</w:t>
            </w:r>
          </w:p>
        </w:tc>
        <w:tc>
          <w:tcPr>
            <w:tcW w:w="2900" w:type="dxa"/>
          </w:tcPr>
          <w:p w14:paraId="797C9226">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违法</w:t>
            </w:r>
          </w:p>
          <w:p w14:paraId="7B3A8B29">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行为</w:t>
            </w:r>
          </w:p>
        </w:tc>
        <w:tc>
          <w:tcPr>
            <w:tcW w:w="2128" w:type="dxa"/>
          </w:tcPr>
          <w:p w14:paraId="63DC20C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19C29E1">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依据</w:t>
            </w:r>
          </w:p>
        </w:tc>
        <w:tc>
          <w:tcPr>
            <w:tcW w:w="1389" w:type="dxa"/>
          </w:tcPr>
          <w:p w14:paraId="69CD4F4B">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行政处罚决定</w:t>
            </w:r>
          </w:p>
        </w:tc>
        <w:tc>
          <w:tcPr>
            <w:tcW w:w="883" w:type="dxa"/>
          </w:tcPr>
          <w:p w14:paraId="40A77F2E">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处罚时间</w:t>
            </w:r>
          </w:p>
        </w:tc>
        <w:tc>
          <w:tcPr>
            <w:tcW w:w="856" w:type="dxa"/>
          </w:tcPr>
          <w:p w14:paraId="752D0AF6">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处罚</w:t>
            </w:r>
          </w:p>
          <w:p w14:paraId="4F30B07A">
            <w:pPr>
              <w:spacing w:line="720" w:lineRule="auto"/>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机关</w:t>
            </w:r>
          </w:p>
        </w:tc>
      </w:tr>
      <w:tr w14:paraId="3BE5A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4" w:hRule="atLeast"/>
        </w:trPr>
        <w:tc>
          <w:tcPr>
            <w:tcW w:w="1171" w:type="dxa"/>
            <w:vAlign w:val="center"/>
          </w:tcPr>
          <w:p w14:paraId="4A295658">
            <w:pPr>
              <w:jc w:val="center"/>
              <w:rPr>
                <w:rFonts w:hint="eastAsia" w:ascii="仿宋_GB2312" w:hAnsi="仿宋_GB2312" w:eastAsia="仿宋_GB2312" w:cs="仿宋_GB2312"/>
                <w:sz w:val="24"/>
                <w:szCs w:val="24"/>
              </w:rPr>
            </w:pPr>
          </w:p>
          <w:p w14:paraId="66B0A01A">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巴宜区众源汇茶楼（个体工商户）“3·9”一般生产安全事故</w:t>
            </w:r>
          </w:p>
        </w:tc>
        <w:tc>
          <w:tcPr>
            <w:tcW w:w="1359" w:type="dxa"/>
            <w:vAlign w:val="center"/>
          </w:tcPr>
          <w:p w14:paraId="2A843736">
            <w:pPr>
              <w:jc w:val="both"/>
              <w:rPr>
                <w:rFonts w:hint="eastAsia" w:ascii="仿宋_GB2312" w:hAnsi="仿宋_GB2312" w:eastAsia="仿宋_GB2312" w:cs="仿宋_GB2312"/>
                <w:sz w:val="24"/>
                <w:szCs w:val="24"/>
              </w:rPr>
            </w:pPr>
          </w:p>
          <w:p w14:paraId="3DDB8434">
            <w:pPr>
              <w:jc w:val="center"/>
              <w:rPr>
                <w:rFonts w:hint="eastAsia" w:ascii="仿宋_GB2312" w:hAnsi="仿宋_GB2312" w:eastAsia="仿宋_GB2312" w:cs="仿宋_GB2312"/>
                <w:sz w:val="24"/>
                <w:szCs w:val="24"/>
              </w:rPr>
            </w:pPr>
            <w:r>
              <w:rPr>
                <w:rFonts w:hint="eastAsia" w:ascii="仿宋_GB2312" w:hAnsi="仿宋" w:eastAsia="仿宋_GB2312" w:cs="仿宋"/>
                <w:sz w:val="24"/>
                <w:szCs w:val="24"/>
                <w:u w:val="none"/>
                <w:lang w:val="en-US" w:eastAsia="zh-CN"/>
              </w:rPr>
              <w:t>吴芳</w:t>
            </w:r>
          </w:p>
        </w:tc>
        <w:tc>
          <w:tcPr>
            <w:tcW w:w="1375" w:type="dxa"/>
            <w:vAlign w:val="center"/>
          </w:tcPr>
          <w:p w14:paraId="5CE6AAD8">
            <w:pPr>
              <w:jc w:val="center"/>
              <w:rPr>
                <w:rFonts w:hint="default" w:eastAsiaTheme="minorEastAsia"/>
                <w:vertAlign w:val="baseline"/>
                <w:lang w:val="en-US" w:eastAsia="zh-CN"/>
              </w:rPr>
            </w:pPr>
          </w:p>
        </w:tc>
        <w:tc>
          <w:tcPr>
            <w:tcW w:w="1084" w:type="dxa"/>
            <w:vAlign w:val="center"/>
          </w:tcPr>
          <w:p w14:paraId="2493085F">
            <w:pPr>
              <w:jc w:val="both"/>
              <w:rPr>
                <w:rFonts w:hint="eastAsia" w:ascii="仿宋_GB2312" w:hAnsi="仿宋_GB2312" w:eastAsia="仿宋_GB2312" w:cs="仿宋_GB2312"/>
                <w:sz w:val="24"/>
                <w:szCs w:val="24"/>
                <w:lang w:val="en-US" w:eastAsia="zh-CN"/>
              </w:rPr>
            </w:pPr>
          </w:p>
          <w:p w14:paraId="509A103A">
            <w:pPr>
              <w:jc w:val="center"/>
              <w:rPr>
                <w:rFonts w:hint="default" w:ascii="仿宋_GB2312" w:hAnsi="仿宋_GB2312" w:eastAsia="仿宋_GB2312" w:cs="仿宋_GB2312"/>
                <w:sz w:val="24"/>
                <w:szCs w:val="24"/>
                <w:lang w:val="en-US" w:eastAsia="zh-CN"/>
              </w:rPr>
            </w:pPr>
          </w:p>
        </w:tc>
        <w:tc>
          <w:tcPr>
            <w:tcW w:w="1210" w:type="dxa"/>
            <w:vAlign w:val="center"/>
          </w:tcPr>
          <w:p w14:paraId="35CFF389">
            <w:pPr>
              <w:jc w:val="left"/>
              <w:rPr>
                <w:rFonts w:hint="eastAsia" w:ascii="仿宋_GB2312" w:hAnsi="仿宋_GB2312" w:eastAsia="仿宋_GB2312" w:cs="仿宋_GB2312"/>
                <w:sz w:val="24"/>
                <w:szCs w:val="24"/>
                <w:lang w:val="en-US" w:eastAsia="zh-CN"/>
              </w:rPr>
            </w:pPr>
          </w:p>
          <w:p w14:paraId="4177D77D">
            <w:pPr>
              <w:jc w:val="left"/>
              <w:rPr>
                <w:rFonts w:hint="eastAsia" w:ascii="仿宋_GB2312" w:hAnsi="仿宋_GB2312" w:eastAsia="仿宋_GB2312" w:cs="仿宋_GB2312"/>
                <w:sz w:val="24"/>
                <w:szCs w:val="24"/>
                <w:lang w:val="en-US" w:eastAsia="zh-CN"/>
              </w:rPr>
            </w:pPr>
          </w:p>
          <w:p w14:paraId="07318258">
            <w:pPr>
              <w:jc w:val="left"/>
              <w:rPr>
                <w:rFonts w:hint="eastAsia" w:ascii="仿宋_GB2312" w:hAnsi="仿宋_GB2312" w:eastAsia="仿宋_GB2312" w:cs="仿宋_GB2312"/>
                <w:sz w:val="24"/>
                <w:szCs w:val="24"/>
                <w:lang w:val="en-US" w:eastAsia="zh-CN"/>
              </w:rPr>
            </w:pPr>
          </w:p>
          <w:p w14:paraId="2644A3F2">
            <w:pPr>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（林市）应急罚〔2026〕07号</w:t>
            </w:r>
          </w:p>
          <w:p w14:paraId="61490C38">
            <w:pPr>
              <w:jc w:val="left"/>
              <w:rPr>
                <w:rFonts w:hint="eastAsia" w:ascii="仿宋_GB2312" w:hAnsi="仿宋_GB2312" w:eastAsia="仿宋_GB2312" w:cs="仿宋_GB2312"/>
                <w:sz w:val="24"/>
                <w:szCs w:val="24"/>
                <w:lang w:val="en-US" w:eastAsia="zh-CN"/>
              </w:rPr>
            </w:pPr>
          </w:p>
        </w:tc>
        <w:tc>
          <w:tcPr>
            <w:tcW w:w="2900" w:type="dxa"/>
            <w:vAlign w:val="center"/>
          </w:tcPr>
          <w:p w14:paraId="4015D430">
            <w:pPr>
              <w:jc w:val="lef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巴宜区众源汇茶楼（个体工商户）经营者吴芳</w:t>
            </w:r>
            <w:r>
              <w:rPr>
                <w:rFonts w:hint="eastAsia" w:ascii="仿宋_GB2312" w:hAnsi="仿宋_GB2312" w:eastAsia="仿宋_GB2312" w:cs="仿宋_GB2312"/>
                <w:sz w:val="24"/>
                <w:szCs w:val="24"/>
                <w:lang w:val="en-US" w:eastAsia="zh-CN"/>
              </w:rPr>
              <w:t>，未按法律法规要求保证安全生产所必需的资金投入，致使作业现场不具备安全作业条件；现场安全监督检查不到位</w:t>
            </w:r>
            <w:r>
              <w:rPr>
                <w:rFonts w:hint="eastAsia" w:ascii="仿宋_GB2312" w:hAnsi="仿宋_GB2312" w:eastAsia="仿宋_GB2312" w:cs="仿宋_GB2312"/>
                <w:sz w:val="24"/>
                <w:szCs w:val="24"/>
                <w:lang w:val="en-US" w:eastAsia="zh-CN"/>
              </w:rPr>
              <w:t>。其行为违反了《中华人民共和国安全生产法》第二十三条第一款的规定。</w:t>
            </w:r>
          </w:p>
        </w:tc>
        <w:tc>
          <w:tcPr>
            <w:tcW w:w="2128" w:type="dxa"/>
            <w:vAlign w:val="center"/>
          </w:tcPr>
          <w:p w14:paraId="46FE40F8">
            <w:pPr>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依据《中华人民共和国安全生产法》第九十三条第二款以及《生产安全事故罚款处罚规定》第二十一条第一项之规定；参照应急管理部《应急管理行政处罚裁量权基准》（2024年）裁量细则第10条A裁量阶次。</w:t>
            </w:r>
          </w:p>
        </w:tc>
        <w:tc>
          <w:tcPr>
            <w:tcW w:w="1389" w:type="dxa"/>
            <w:vAlign w:val="center"/>
          </w:tcPr>
          <w:p w14:paraId="0EB859E6">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对巴宜区众源汇茶楼（个体工商户）经营者吴芳处人民币21000元（贰万壹仟元整）的罚款。</w:t>
            </w:r>
          </w:p>
        </w:tc>
        <w:tc>
          <w:tcPr>
            <w:tcW w:w="883" w:type="dxa"/>
            <w:vAlign w:val="center"/>
          </w:tcPr>
          <w:p w14:paraId="6DC7DEC4">
            <w:pPr>
              <w:jc w:val="both"/>
              <w:rPr>
                <w:rFonts w:hint="eastAsia" w:ascii="仿宋_GB2312" w:hAnsi="仿宋_GB2312" w:eastAsia="仿宋_GB2312" w:cs="仿宋_GB2312"/>
                <w:sz w:val="24"/>
                <w:szCs w:val="24"/>
                <w:lang w:val="en-US" w:eastAsia="zh-CN"/>
              </w:rPr>
            </w:pPr>
          </w:p>
          <w:p w14:paraId="19F24EA1">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2026年10月23日</w:t>
            </w:r>
          </w:p>
        </w:tc>
        <w:tc>
          <w:tcPr>
            <w:tcW w:w="856" w:type="dxa"/>
            <w:vAlign w:val="center"/>
          </w:tcPr>
          <w:p w14:paraId="5F0C1A56">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林芝</w:t>
            </w:r>
          </w:p>
          <w:p w14:paraId="29F85B1F">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市应</w:t>
            </w:r>
          </w:p>
          <w:p w14:paraId="56EE2B47">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急管</w:t>
            </w:r>
          </w:p>
          <w:p w14:paraId="772E2FDD">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理局</w:t>
            </w:r>
          </w:p>
        </w:tc>
      </w:tr>
    </w:tbl>
    <w:p w14:paraId="2F7065E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FangSong_GB2312">
    <w:altName w:val="仿宋_GB2312"/>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DD1754"/>
    <w:rsid w:val="1DE101C9"/>
    <w:rsid w:val="2D421839"/>
    <w:rsid w:val="51DD1754"/>
    <w:rsid w:val="5AD808D9"/>
    <w:rsid w:val="6AB12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spacing w:after="0"/>
      <w:ind w:firstLine="420" w:firstLineChars="200"/>
    </w:pPr>
  </w:style>
  <w:style w:type="paragraph" w:styleId="3">
    <w:name w:val="Body Text Indent"/>
    <w:basedOn w:val="1"/>
    <w:next w:val="4"/>
    <w:qFormat/>
    <w:uiPriority w:val="0"/>
    <w:pPr>
      <w:spacing w:after="120"/>
      <w:ind w:left="420" w:leftChars="200"/>
    </w:pPr>
  </w:style>
  <w:style w:type="paragraph" w:styleId="4">
    <w:name w:val="Normal Indent"/>
    <w:basedOn w:val="1"/>
    <w:qFormat/>
    <w:uiPriority w:val="1"/>
    <w:pPr>
      <w:ind w:firstLine="420" w:firstLineChars="200"/>
    </w:pPr>
    <w:rPr>
      <w:rFonts w:eastAsia="仿宋"/>
      <w:sz w:val="32"/>
    </w:rPr>
  </w:style>
  <w:style w:type="paragraph" w:styleId="5">
    <w:name w:val="Body Text"/>
    <w:basedOn w:val="1"/>
    <w:qFormat/>
    <w:uiPriority w:val="0"/>
    <w:pPr>
      <w:spacing w:after="120" w:afterLines="0" w:afterAutospacing="0"/>
    </w:pPr>
  </w:style>
  <w:style w:type="paragraph" w:styleId="6">
    <w:name w:val="Body Text First Indent"/>
    <w:basedOn w:val="5"/>
    <w:qFormat/>
    <w:uiPriority w:val="0"/>
    <w:pPr>
      <w:ind w:firstLine="420" w:firstLineChars="1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857</Words>
  <Characters>894</Characters>
  <Lines>0</Lines>
  <Paragraphs>0</Paragraphs>
  <TotalTime>1</TotalTime>
  <ScaleCrop>false</ScaleCrop>
  <LinksUpToDate>false</LinksUpToDate>
  <CharactersWithSpaces>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2026-10-26T04:00:00Z</dcterms:created>
  <dc:creator>贪恋～你</dc:creator>
  <cp:lastModifiedBy>贪恋～你</cp:lastModifiedBy>
  <dcterms:modified xsi:type="dcterms:W3CDTF">2026-10-26T09:38:25Z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291D9473E4EA45FD8236EB6E29E50E38_11</vt:lpwstr>
  </property>
  <property fmtid="{D5CDD505-2E9C-101B-9397-08002B2CF9AE}" pid="4" name="KSOTemplateDocerSaveRecord">
    <vt:lpwstr>eyJoZGlkIjoiY2FiMzY2YjgyZDYxM2I5YjA0MGEwMGZjNWFjNjM5N2EiLCJ1c2VySWQiOiI2MjEyMzI5NzEifQ==</vt:lpwstr>
  </property>
</Properties>
</file>