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23CE6">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left"/>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2026年5月19日00时20分许，西藏自治区林芝市巴宜区更章乡排龙沟发生一起道路车辆致害事故，该事故造成1人（驾驶员何元东）当场死亡，事故造成直接经济损失约163万元。经巴宜区人民政府事故调查组认定该起事故为一般生产安全责任事故，林芝市巴宜区人民政府批复的《巴宜区更章乡成都启扬建筑劳务有限公司“5·19”一般道路车辆致害事故调查报告》认定成都启扬建筑劳务有限公司及法定代表人邹献军、安全管理人员肖云红对事故发生负有责任，建议给予行政处罚。</w:t>
      </w:r>
      <w:r>
        <w:rPr>
          <w:rFonts w:hint="eastAsia" w:ascii="仿宋_GB2312" w:hAnsi="仿宋" w:eastAsia="仿宋_GB2312" w:cs="仿宋"/>
          <w:w w:val="90"/>
          <w:sz w:val="28"/>
          <w:szCs w:val="28"/>
          <w:u w:val="none"/>
          <w:lang w:val="en-US" w:eastAsia="zh-CN"/>
        </w:rPr>
        <w:t>2026年9月11日林芝市应急管理局立案调查，</w:t>
      </w:r>
      <w:r>
        <w:rPr>
          <w:rFonts w:hint="eastAsia" w:ascii="仿宋_GB2312" w:hAnsi="仿宋_GB2312" w:eastAsia="仿宋_GB2312" w:cs="仿宋_GB2312"/>
          <w:sz w:val="28"/>
          <w:szCs w:val="28"/>
        </w:rPr>
        <w:t>经调查</w:t>
      </w:r>
      <w:r>
        <w:rPr>
          <w:rFonts w:hint="eastAsia" w:ascii="仿宋_GB2312" w:hAnsi="仿宋_GB2312" w:eastAsia="仿宋_GB2312" w:cs="仿宋_GB2312"/>
          <w:sz w:val="28"/>
          <w:szCs w:val="28"/>
          <w:lang w:eastAsia="zh-CN"/>
        </w:rPr>
        <w:t>：</w:t>
      </w:r>
    </w:p>
    <w:p w14:paraId="6ABA9A7C">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成都启扬建筑劳务有限公司在成都启扬建筑劳务有限公司“5·19”一般生产安全事故案中存在：安全教育培训和安全技术交底均未实现全员覆盖，例如：未将罐车道路行驶环节纳入操作规程，且未针对罐车驾驶员开展安全驾驶方面的教育培训，对本起事故负有责任。</w:t>
      </w:r>
      <w:r>
        <w:rPr>
          <w:rFonts w:hint="eastAsia" w:ascii="仿宋_GB2312" w:hAnsi="仿宋_GB2312" w:eastAsia="仿宋_GB2312" w:cs="仿宋_GB2312"/>
          <w:sz w:val="28"/>
          <w:szCs w:val="28"/>
          <w:lang w:val="en-US" w:eastAsia="zh-CN"/>
        </w:rPr>
        <w:t>该公司</w:t>
      </w:r>
      <w:r>
        <w:rPr>
          <w:rFonts w:hint="eastAsia" w:ascii="仿宋_GB2312" w:hAnsi="仿宋_GB2312" w:eastAsia="仿宋_GB2312" w:cs="仿宋_GB2312"/>
          <w:sz w:val="28"/>
          <w:szCs w:val="28"/>
        </w:rPr>
        <w:t>违反了《中华人民共和国安全生产法》第四十四条第一款的规定，依据《中华人民共和国安全生产法》第一百一十四条第一款第一项、《生产安全事故罚款处罚规定》（中华人民共和国应急管理部令第14号）第十四条第二项以及应急管理部《应急管理行政处罚裁量权基准》（2024版）裁量细则第95条B档的规定，对</w:t>
      </w:r>
      <w:r>
        <w:rPr>
          <w:rFonts w:hint="eastAsia" w:ascii="仿宋_GB2312" w:hAnsi="仿宋_GB2312" w:eastAsia="仿宋_GB2312" w:cs="仿宋_GB2312"/>
          <w:sz w:val="28"/>
          <w:szCs w:val="28"/>
          <w:lang w:val="en-US" w:eastAsia="zh-CN"/>
        </w:rPr>
        <w:t>该</w:t>
      </w:r>
      <w:r>
        <w:rPr>
          <w:rFonts w:hint="eastAsia" w:ascii="仿宋_GB2312" w:hAnsi="仿宋_GB2312" w:eastAsia="仿宋_GB2312" w:cs="仿宋_GB2312"/>
          <w:sz w:val="28"/>
          <w:szCs w:val="28"/>
        </w:rPr>
        <w:t xml:space="preserve">公司处人民币510000元（伍拾壹万元整）罚款的行政处罚。    </w:t>
      </w:r>
    </w:p>
    <w:p w14:paraId="06798BE6">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法定代表人和主要负责人</w:t>
      </w:r>
      <w:r>
        <w:rPr>
          <w:rFonts w:hint="eastAsia" w:ascii="仿宋_GB2312" w:hAnsi="仿宋_GB2312" w:eastAsia="仿宋_GB2312" w:cs="仿宋_GB2312"/>
          <w:sz w:val="28"/>
          <w:szCs w:val="28"/>
          <w:lang w:val="en-US" w:eastAsia="zh-CN"/>
        </w:rPr>
        <w:t>邹献军</w:t>
      </w:r>
      <w:r>
        <w:rPr>
          <w:rFonts w:hint="eastAsia" w:ascii="仿宋_GB2312" w:hAnsi="仿宋_GB2312" w:eastAsia="仿宋_GB2312" w:cs="仿宋_GB2312"/>
          <w:sz w:val="28"/>
          <w:szCs w:val="28"/>
        </w:rPr>
        <w:t>未参与企业安全管理，未履行法定职责。例如：未到施工现场检查过，只是偶尔通过视频会议安排部署相关工作，对本起事故负安全管理责任。违反了《中华人民共和国安全生产法》第二十一条第二项、第五项的规定，依据《中华人民共和国安全生产法》第九十五条第一项以及应急管理部《应急管理行政处罚裁量权基准》（2024版）裁量细则第94条A档的规定，对</w:t>
      </w:r>
      <w:r>
        <w:rPr>
          <w:rFonts w:hint="eastAsia" w:ascii="仿宋_GB2312" w:hAnsi="仿宋_GB2312" w:eastAsia="仿宋_GB2312" w:cs="仿宋_GB2312"/>
          <w:sz w:val="28"/>
          <w:szCs w:val="28"/>
          <w:lang w:val="en-US" w:eastAsia="zh-CN"/>
        </w:rPr>
        <w:t>邹献军</w:t>
      </w:r>
      <w:r>
        <w:rPr>
          <w:rFonts w:hint="eastAsia" w:ascii="仿宋_GB2312" w:hAnsi="仿宋_GB2312" w:eastAsia="仿宋_GB2312" w:cs="仿宋_GB2312"/>
          <w:sz w:val="28"/>
          <w:szCs w:val="28"/>
        </w:rPr>
        <w:t xml:space="preserve">处上一年年收入百分之四十，共计人民币24600元（贰万肆仟陆佰元整）罚款之行政处罚。         </w:t>
      </w:r>
    </w:p>
    <w:p w14:paraId="3B8FA363">
      <w:pPr>
        <w:keepNext w:val="0"/>
        <w:keepLines w:val="0"/>
        <w:pageBreakBefore w:val="0"/>
        <w:widowControl w:val="0"/>
        <w:kinsoku/>
        <w:wordWrap/>
        <w:overflowPunct/>
        <w:topLinePunct w:val="0"/>
        <w:autoSpaceDE/>
        <w:autoSpaceDN/>
        <w:bidi w:val="0"/>
        <w:adjustRightInd/>
        <w:snapToGrid/>
        <w:spacing w:line="380" w:lineRule="exact"/>
        <w:ind w:firstLine="560" w:firstLineChars="200"/>
        <w:jc w:val="both"/>
        <w:textAlignment w:val="auto"/>
        <w:rPr>
          <w:rFonts w:hint="eastAsia" w:ascii="方正小标宋简体" w:hAnsi="方正小标宋简体" w:eastAsia="方正小标宋简体" w:cs="方正小标宋简体"/>
          <w:b w:val="0"/>
          <w:bCs w:val="0"/>
          <w:sz w:val="32"/>
          <w:szCs w:val="32"/>
          <w:lang w:val="en-US" w:eastAsia="zh-CN"/>
        </w:rPr>
      </w:pPr>
      <w:r>
        <w:rPr>
          <w:rFonts w:hint="eastAsia" w:ascii="仿宋_GB2312" w:hAnsi="仿宋_GB2312" w:eastAsia="仿宋_GB2312" w:cs="仿宋_GB2312"/>
          <w:sz w:val="28"/>
          <w:szCs w:val="28"/>
        </w:rPr>
        <w:t>安全员</w:t>
      </w:r>
      <w:r>
        <w:rPr>
          <w:rFonts w:hint="eastAsia" w:ascii="仿宋_GB2312" w:hAnsi="仿宋_GB2312" w:eastAsia="仿宋_GB2312" w:cs="仿宋_GB2312"/>
          <w:sz w:val="28"/>
          <w:szCs w:val="28"/>
          <w:lang w:val="en-US" w:eastAsia="zh-CN"/>
        </w:rPr>
        <w:t>肖云红</w:t>
      </w:r>
      <w:r>
        <w:rPr>
          <w:rFonts w:hint="eastAsia" w:ascii="仿宋_GB2312" w:hAnsi="仿宋_GB2312" w:eastAsia="仿宋_GB2312" w:cs="仿宋_GB2312"/>
          <w:sz w:val="28"/>
          <w:szCs w:val="28"/>
        </w:rPr>
        <w:t>安全教育培训和安全技术交底未实现全员覆盖。例如：不清楚自身安全管理职责，未取得安全员相关资质，未将罐车道路行驶环节纳入操作规程，且未针对罐车驾驶员开展安全驾驶方面的教育培训，对本起事故负安全管理责任。违反了《中华人民共和国安全生产法》第二十五条第一款第二项的规定，依据《中华人民共和国安全生产法》第九十六条以及《生产安全事故罚款处罚规定》（中华人民共和国应急管理部令第14号）第二十条的规定，</w:t>
      </w:r>
      <w:r>
        <w:rPr>
          <w:rFonts w:hint="eastAsia" w:ascii="仿宋_GB2312" w:hAnsi="仿宋_GB2312" w:eastAsia="仿宋_GB2312" w:cs="仿宋_GB2312"/>
          <w:sz w:val="28"/>
          <w:szCs w:val="28"/>
          <w:lang w:val="en-US" w:eastAsia="zh-CN"/>
        </w:rPr>
        <w:t>对肖云红</w:t>
      </w:r>
      <w:r>
        <w:rPr>
          <w:rFonts w:hint="eastAsia" w:ascii="仿宋_GB2312" w:hAnsi="仿宋_GB2312" w:eastAsia="仿宋_GB2312" w:cs="仿宋_GB2312"/>
          <w:sz w:val="28"/>
          <w:szCs w:val="28"/>
        </w:rPr>
        <w:t xml:space="preserve">处上一年年收入百分之二十五，共计人民币22882.35元（贰万贰仟捌佰捌拾贰元叁角伍分）罚款的行政处罚。 </w:t>
      </w:r>
    </w:p>
    <w:p w14:paraId="59437C48">
      <w:pPr>
        <w:ind w:firstLine="640" w:firstLineChars="200"/>
        <w:jc w:val="center"/>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lang w:val="en-US" w:eastAsia="zh-CN"/>
        </w:rPr>
        <w:t>行政处罚公开信息表</w:t>
      </w:r>
    </w:p>
    <w:tbl>
      <w:tblPr>
        <w:tblStyle w:val="7"/>
        <w:tblW w:w="143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1355"/>
        <w:gridCol w:w="1371"/>
        <w:gridCol w:w="1081"/>
        <w:gridCol w:w="1356"/>
        <w:gridCol w:w="3014"/>
        <w:gridCol w:w="2034"/>
        <w:gridCol w:w="1197"/>
        <w:gridCol w:w="880"/>
        <w:gridCol w:w="853"/>
      </w:tblGrid>
      <w:tr w14:paraId="6D6B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trPr>
        <w:tc>
          <w:tcPr>
            <w:tcW w:w="1167" w:type="dxa"/>
          </w:tcPr>
          <w:p w14:paraId="05C5F752">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案件</w:t>
            </w:r>
          </w:p>
          <w:p w14:paraId="49E40423">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名称</w:t>
            </w:r>
          </w:p>
        </w:tc>
        <w:tc>
          <w:tcPr>
            <w:tcW w:w="1355" w:type="dxa"/>
          </w:tcPr>
          <w:p w14:paraId="1DB5F3ED">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单位</w:t>
            </w:r>
          </w:p>
          <w:p w14:paraId="3A51F019">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（个人）</w:t>
            </w:r>
          </w:p>
        </w:tc>
        <w:tc>
          <w:tcPr>
            <w:tcW w:w="1371" w:type="dxa"/>
          </w:tcPr>
          <w:p w14:paraId="2856F634">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统一社会</w:t>
            </w:r>
          </w:p>
          <w:p w14:paraId="04C916DB">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信用代码</w:t>
            </w:r>
          </w:p>
        </w:tc>
        <w:tc>
          <w:tcPr>
            <w:tcW w:w="1081" w:type="dxa"/>
          </w:tcPr>
          <w:p w14:paraId="052B0CD4">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法定代</w:t>
            </w:r>
          </w:p>
          <w:p w14:paraId="7877B37F">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表  人</w:t>
            </w:r>
          </w:p>
        </w:tc>
        <w:tc>
          <w:tcPr>
            <w:tcW w:w="1356" w:type="dxa"/>
          </w:tcPr>
          <w:p w14:paraId="2DEE48B4">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w:t>
            </w:r>
          </w:p>
          <w:p w14:paraId="4505A06C">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决定书</w:t>
            </w:r>
          </w:p>
        </w:tc>
        <w:tc>
          <w:tcPr>
            <w:tcW w:w="3014" w:type="dxa"/>
          </w:tcPr>
          <w:p w14:paraId="797C9226">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违法</w:t>
            </w:r>
          </w:p>
          <w:p w14:paraId="7B3A8B29">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行为</w:t>
            </w:r>
          </w:p>
        </w:tc>
        <w:tc>
          <w:tcPr>
            <w:tcW w:w="2034" w:type="dxa"/>
          </w:tcPr>
          <w:p w14:paraId="63DC20CB">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w:t>
            </w:r>
          </w:p>
          <w:p w14:paraId="419C29E1">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依据</w:t>
            </w:r>
          </w:p>
        </w:tc>
        <w:tc>
          <w:tcPr>
            <w:tcW w:w="1197" w:type="dxa"/>
          </w:tcPr>
          <w:p w14:paraId="69CD4F4B">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行政处罚决定</w:t>
            </w:r>
          </w:p>
        </w:tc>
        <w:tc>
          <w:tcPr>
            <w:tcW w:w="880" w:type="dxa"/>
          </w:tcPr>
          <w:p w14:paraId="40A77F2E">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处罚时间</w:t>
            </w:r>
          </w:p>
        </w:tc>
        <w:tc>
          <w:tcPr>
            <w:tcW w:w="853" w:type="dxa"/>
          </w:tcPr>
          <w:p w14:paraId="752D0AF6">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w:t>
            </w:r>
          </w:p>
          <w:p w14:paraId="4F30B07A">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机关</w:t>
            </w:r>
          </w:p>
        </w:tc>
      </w:tr>
      <w:tr w14:paraId="3BE5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trPr>
        <w:tc>
          <w:tcPr>
            <w:tcW w:w="1167" w:type="dxa"/>
            <w:vAlign w:val="center"/>
          </w:tcPr>
          <w:p w14:paraId="4A295658">
            <w:pPr>
              <w:jc w:val="center"/>
              <w:rPr>
                <w:rFonts w:hint="eastAsia" w:ascii="仿宋_GB2312" w:hAnsi="仿宋_GB2312" w:eastAsia="仿宋_GB2312" w:cs="仿宋_GB2312"/>
                <w:sz w:val="24"/>
                <w:szCs w:val="24"/>
              </w:rPr>
            </w:pPr>
          </w:p>
          <w:p w14:paraId="1C70112F">
            <w:pPr>
              <w:jc w:val="center"/>
              <w:rPr>
                <w:rFonts w:hint="eastAsia" w:ascii="仿宋_GB2312" w:hAnsi="仿宋_GB2312" w:eastAsia="仿宋_GB2312" w:cs="仿宋_GB2312"/>
                <w:sz w:val="24"/>
                <w:szCs w:val="24"/>
              </w:rPr>
            </w:pPr>
          </w:p>
          <w:p w14:paraId="1A69BA1F">
            <w:pPr>
              <w:jc w:val="center"/>
              <w:rPr>
                <w:rFonts w:hint="eastAsia" w:ascii="仿宋_GB2312" w:hAnsi="仿宋_GB2312" w:eastAsia="仿宋_GB2312" w:cs="仿宋_GB2312"/>
                <w:sz w:val="24"/>
                <w:szCs w:val="24"/>
              </w:rPr>
            </w:pPr>
          </w:p>
          <w:p w14:paraId="66B0A01A">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color w:val="auto"/>
                <w:spacing w:val="0"/>
                <w:w w:val="98"/>
                <w:sz w:val="24"/>
                <w:szCs w:val="24"/>
                <w:u w:val="none" w:color="auto"/>
                <w:lang w:eastAsia="zh-CN"/>
              </w:rPr>
              <w:t>成都启扬建筑劳务有限公司“5·19”一般生产安全事故案</w:t>
            </w:r>
          </w:p>
        </w:tc>
        <w:tc>
          <w:tcPr>
            <w:tcW w:w="1355" w:type="dxa"/>
            <w:vAlign w:val="center"/>
          </w:tcPr>
          <w:p w14:paraId="2A843736">
            <w:pPr>
              <w:jc w:val="both"/>
              <w:rPr>
                <w:rFonts w:hint="eastAsia" w:ascii="仿宋_GB2312" w:hAnsi="仿宋_GB2312" w:eastAsia="仿宋_GB2312" w:cs="仿宋_GB2312"/>
                <w:sz w:val="24"/>
                <w:szCs w:val="24"/>
              </w:rPr>
            </w:pPr>
          </w:p>
          <w:p w14:paraId="3DDB8434">
            <w:pPr>
              <w:jc w:val="center"/>
              <w:rPr>
                <w:rFonts w:hint="eastAsia" w:ascii="仿宋_GB2312" w:hAnsi="仿宋_GB2312" w:eastAsia="仿宋_GB2312" w:cs="仿宋_GB2312"/>
                <w:sz w:val="24"/>
                <w:szCs w:val="24"/>
              </w:rPr>
            </w:pPr>
            <w:r>
              <w:rPr>
                <w:rFonts w:hint="eastAsia" w:ascii="仿宋_GB2312" w:hAnsi="仿宋_GB2312" w:eastAsia="仿宋_GB2312" w:cs="仿宋_GB2312"/>
                <w:color w:val="auto"/>
                <w:spacing w:val="0"/>
                <w:w w:val="98"/>
                <w:sz w:val="24"/>
                <w:szCs w:val="24"/>
                <w:u w:val="none" w:color="auto"/>
                <w:lang w:eastAsia="zh-CN"/>
              </w:rPr>
              <w:t>成都启扬建筑劳务有限公司</w:t>
            </w:r>
          </w:p>
        </w:tc>
        <w:tc>
          <w:tcPr>
            <w:tcW w:w="1371" w:type="dxa"/>
            <w:vAlign w:val="center"/>
          </w:tcPr>
          <w:p w14:paraId="5CE6AAD8">
            <w:pPr>
              <w:jc w:val="center"/>
              <w:rPr>
                <w:rFonts w:hint="default" w:eastAsiaTheme="minorEastAsia"/>
                <w:vertAlign w:val="baseline"/>
                <w:lang w:val="en-US" w:eastAsia="zh-CN"/>
              </w:rPr>
            </w:pPr>
            <w:r>
              <w:rPr>
                <w:rFonts w:hint="eastAsia" w:ascii="仿宋_GB2312" w:hAnsi="仿宋_GB2312" w:eastAsia="仿宋_GB2312" w:cs="仿宋_GB2312"/>
                <w:b w:val="0"/>
                <w:bCs w:val="0"/>
                <w:color w:val="auto"/>
                <w:spacing w:val="0"/>
                <w:w w:val="100"/>
                <w:sz w:val="24"/>
                <w:szCs w:val="24"/>
                <w:u w:val="none" w:color="auto"/>
                <w:lang w:val="en-US" w:eastAsia="zh-CN"/>
              </w:rPr>
              <w:t>915101075696759187</w:t>
            </w:r>
          </w:p>
        </w:tc>
        <w:tc>
          <w:tcPr>
            <w:tcW w:w="1081" w:type="dxa"/>
            <w:vAlign w:val="center"/>
          </w:tcPr>
          <w:p w14:paraId="2493085F">
            <w:pPr>
              <w:jc w:val="both"/>
              <w:rPr>
                <w:rFonts w:hint="eastAsia" w:ascii="仿宋_GB2312" w:hAnsi="仿宋_GB2312" w:eastAsia="仿宋_GB2312" w:cs="仿宋_GB2312"/>
                <w:sz w:val="24"/>
                <w:szCs w:val="24"/>
                <w:lang w:val="en-US" w:eastAsia="zh-CN"/>
              </w:rPr>
            </w:pPr>
          </w:p>
          <w:p w14:paraId="509A103A">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邹献军</w:t>
            </w:r>
          </w:p>
        </w:tc>
        <w:tc>
          <w:tcPr>
            <w:tcW w:w="1356" w:type="dxa"/>
            <w:vAlign w:val="center"/>
          </w:tcPr>
          <w:p w14:paraId="35CFF389">
            <w:pPr>
              <w:jc w:val="center"/>
              <w:rPr>
                <w:rFonts w:hint="eastAsia" w:ascii="仿宋_GB2312" w:hAnsi="仿宋_GB2312" w:eastAsia="仿宋_GB2312" w:cs="仿宋_GB2312"/>
                <w:sz w:val="24"/>
                <w:szCs w:val="24"/>
                <w:lang w:val="en-US" w:eastAsia="zh-CN"/>
              </w:rPr>
            </w:pPr>
          </w:p>
          <w:p w14:paraId="4177D77D">
            <w:pPr>
              <w:jc w:val="center"/>
              <w:rPr>
                <w:rFonts w:hint="eastAsia" w:ascii="仿宋_GB2312" w:hAnsi="仿宋_GB2312" w:eastAsia="仿宋_GB2312" w:cs="仿宋_GB2312"/>
                <w:sz w:val="24"/>
                <w:szCs w:val="24"/>
                <w:lang w:val="en-US" w:eastAsia="zh-CN"/>
              </w:rPr>
            </w:pPr>
          </w:p>
          <w:p w14:paraId="026B152B">
            <w:pPr>
              <w:jc w:val="both"/>
              <w:rPr>
                <w:rFonts w:hint="eastAsia" w:ascii="仿宋_GB2312" w:hAnsi="仿宋_GB2312" w:eastAsia="仿宋_GB2312" w:cs="仿宋_GB2312"/>
                <w:sz w:val="24"/>
                <w:szCs w:val="24"/>
                <w:lang w:val="en-US" w:eastAsia="zh-CN"/>
              </w:rPr>
            </w:pPr>
          </w:p>
          <w:p w14:paraId="07318258">
            <w:pPr>
              <w:jc w:val="center"/>
              <w:rPr>
                <w:rFonts w:hint="eastAsia" w:ascii="仿宋_GB2312" w:hAnsi="仿宋_GB2312" w:eastAsia="仿宋_GB2312" w:cs="仿宋_GB2312"/>
                <w:sz w:val="24"/>
                <w:szCs w:val="24"/>
                <w:lang w:val="en-US" w:eastAsia="zh-CN"/>
              </w:rPr>
            </w:pPr>
          </w:p>
          <w:p w14:paraId="2644A3F2">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（林市）应急罚〔2026〕08-1号</w:t>
            </w:r>
          </w:p>
          <w:p w14:paraId="61490C38">
            <w:pPr>
              <w:jc w:val="center"/>
              <w:rPr>
                <w:rFonts w:hint="eastAsia" w:ascii="仿宋_GB2312" w:hAnsi="仿宋_GB2312" w:eastAsia="仿宋_GB2312" w:cs="仿宋_GB2312"/>
                <w:sz w:val="24"/>
                <w:szCs w:val="24"/>
                <w:lang w:val="en-US" w:eastAsia="zh-CN"/>
              </w:rPr>
            </w:pPr>
          </w:p>
        </w:tc>
        <w:tc>
          <w:tcPr>
            <w:tcW w:w="3014" w:type="dxa"/>
            <w:vAlign w:val="center"/>
          </w:tcPr>
          <w:p w14:paraId="4015D430">
            <w:pPr>
              <w:jc w:val="both"/>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4"/>
                <w:szCs w:val="24"/>
              </w:rPr>
              <w:t>成都启扬建筑劳务有限公司在成都启扬建筑劳务有限公司“5·19”一般生产安全事故案中存在：安全教育培训和安全技术交底均未实现全员覆盖，例如：未将罐车道路行驶环节纳入操作规程，且未针对罐车驾驶员开展安全驾驶方面的教育培训，对本起事故负有责任。该公司违反了《中华人民共和国安全生产法》第四十四条第一款的规定</w:t>
            </w:r>
            <w:r>
              <w:rPr>
                <w:rFonts w:hint="eastAsia" w:ascii="仿宋_GB2312" w:hAnsi="仿宋_GB2312" w:eastAsia="仿宋_GB2312" w:cs="仿宋_GB2312"/>
                <w:sz w:val="24"/>
                <w:szCs w:val="24"/>
                <w:lang w:eastAsia="zh-CN"/>
              </w:rPr>
              <w:t>。</w:t>
            </w:r>
          </w:p>
        </w:tc>
        <w:tc>
          <w:tcPr>
            <w:tcW w:w="2034" w:type="dxa"/>
            <w:vAlign w:val="center"/>
          </w:tcPr>
          <w:p w14:paraId="46FE40F8">
            <w:pPr>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依据《中华人民共和国安全生产法》第一百一十四条第一款第一项、《生产安全事故罚款处罚规定》（中华人民共和国应急管理部令第14号）第十四条第二项以及应急管理部《应急管理行政处罚裁量权基准》（2024版）裁量细则第95条B档的规定</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 xml:space="preserve"> </w:t>
            </w:r>
          </w:p>
        </w:tc>
        <w:tc>
          <w:tcPr>
            <w:tcW w:w="1197" w:type="dxa"/>
            <w:vAlign w:val="center"/>
          </w:tcPr>
          <w:p w14:paraId="6888638A">
            <w:pPr>
              <w:jc w:val="both"/>
              <w:rPr>
                <w:rFonts w:hint="eastAsia" w:ascii="仿宋_GB2312" w:hAnsi="仿宋_GB2312" w:eastAsia="仿宋_GB2312" w:cs="仿宋_GB2312"/>
                <w:sz w:val="24"/>
                <w:szCs w:val="24"/>
                <w:lang w:val="en-US" w:eastAsia="zh-CN"/>
              </w:rPr>
            </w:pPr>
          </w:p>
          <w:p w14:paraId="30E84C61">
            <w:pPr>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对该公司处人民币510000元（伍拾壹万元整）罚款的行政处罚。</w:t>
            </w:r>
          </w:p>
        </w:tc>
        <w:tc>
          <w:tcPr>
            <w:tcW w:w="880" w:type="dxa"/>
            <w:vAlign w:val="center"/>
          </w:tcPr>
          <w:p w14:paraId="6DC7DEC4">
            <w:pPr>
              <w:jc w:val="left"/>
              <w:rPr>
                <w:rFonts w:hint="eastAsia" w:ascii="仿宋_GB2312" w:hAnsi="仿宋_GB2312" w:eastAsia="仿宋_GB2312" w:cs="仿宋_GB2312"/>
                <w:sz w:val="24"/>
                <w:szCs w:val="24"/>
                <w:lang w:val="en-US" w:eastAsia="zh-CN"/>
              </w:rPr>
            </w:pPr>
          </w:p>
          <w:p w14:paraId="19F24EA1">
            <w:pPr>
              <w:jc w:val="left"/>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2026年10月27日</w:t>
            </w:r>
          </w:p>
        </w:tc>
        <w:tc>
          <w:tcPr>
            <w:tcW w:w="853" w:type="dxa"/>
            <w:vAlign w:val="center"/>
          </w:tcPr>
          <w:p w14:paraId="5F0C1A56">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林芝</w:t>
            </w:r>
          </w:p>
          <w:p w14:paraId="29F85B1F">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市应</w:t>
            </w:r>
          </w:p>
          <w:p w14:paraId="56EE2B47">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急管</w:t>
            </w:r>
          </w:p>
          <w:p w14:paraId="772E2FDD">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理局</w:t>
            </w:r>
          </w:p>
        </w:tc>
      </w:tr>
      <w:tr w14:paraId="3730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trPr>
        <w:tc>
          <w:tcPr>
            <w:tcW w:w="1167" w:type="dxa"/>
            <w:vAlign w:val="center"/>
          </w:tcPr>
          <w:p w14:paraId="69BFBCBB">
            <w:pPr>
              <w:jc w:val="center"/>
              <w:rPr>
                <w:rFonts w:hint="eastAsia" w:ascii="仿宋_GB2312" w:hAnsi="仿宋_GB2312" w:eastAsia="仿宋_GB2312" w:cs="仿宋_GB2312"/>
                <w:sz w:val="24"/>
                <w:szCs w:val="24"/>
              </w:rPr>
            </w:pPr>
            <w:r>
              <w:rPr>
                <w:rFonts w:hint="eastAsia" w:ascii="仿宋_GB2312" w:hAnsi="仿宋_GB2312" w:eastAsia="仿宋_GB2312" w:cs="仿宋_GB2312"/>
                <w:color w:val="auto"/>
                <w:spacing w:val="0"/>
                <w:w w:val="98"/>
                <w:sz w:val="24"/>
                <w:szCs w:val="24"/>
                <w:u w:val="none" w:color="auto"/>
                <w:lang w:eastAsia="zh-CN"/>
              </w:rPr>
              <w:t>成都启扬建筑劳务有限公司“5·19”一般生产安全事故案</w:t>
            </w:r>
          </w:p>
        </w:tc>
        <w:tc>
          <w:tcPr>
            <w:tcW w:w="1355" w:type="dxa"/>
            <w:vAlign w:val="center"/>
          </w:tcPr>
          <w:p w14:paraId="361CA16B">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邹献军</w:t>
            </w:r>
          </w:p>
        </w:tc>
        <w:tc>
          <w:tcPr>
            <w:tcW w:w="1371" w:type="dxa"/>
            <w:vAlign w:val="center"/>
          </w:tcPr>
          <w:p w14:paraId="7F0295EE">
            <w:pPr>
              <w:jc w:val="center"/>
              <w:rPr>
                <w:rFonts w:hint="eastAsia" w:ascii="仿宋_GB2312" w:hAnsi="仿宋_GB2312" w:eastAsia="仿宋_GB2312" w:cs="仿宋_GB2312"/>
                <w:sz w:val="24"/>
                <w:szCs w:val="24"/>
                <w:lang w:val="en-US" w:eastAsia="zh-CN"/>
              </w:rPr>
            </w:pPr>
          </w:p>
        </w:tc>
        <w:tc>
          <w:tcPr>
            <w:tcW w:w="1081" w:type="dxa"/>
            <w:vAlign w:val="center"/>
          </w:tcPr>
          <w:p w14:paraId="47A1B981">
            <w:pPr>
              <w:jc w:val="center"/>
              <w:rPr>
                <w:rFonts w:hint="default" w:ascii="仿宋_GB2312" w:hAnsi="仿宋_GB2312" w:eastAsia="仿宋_GB2312" w:cs="仿宋_GB2312"/>
                <w:sz w:val="24"/>
                <w:szCs w:val="24"/>
                <w:lang w:val="en-US" w:eastAsia="zh-CN"/>
              </w:rPr>
            </w:pPr>
          </w:p>
        </w:tc>
        <w:tc>
          <w:tcPr>
            <w:tcW w:w="1356" w:type="dxa"/>
            <w:vAlign w:val="center"/>
          </w:tcPr>
          <w:p w14:paraId="77467ACD">
            <w:pPr>
              <w:jc w:val="center"/>
              <w:rPr>
                <w:rFonts w:hint="eastAsia" w:ascii="仿宋_GB2312" w:hAnsi="仿宋_GB2312" w:eastAsia="仿宋_GB2312" w:cs="仿宋_GB2312"/>
                <w:sz w:val="24"/>
                <w:szCs w:val="24"/>
                <w:lang w:val="en-US" w:eastAsia="zh-CN"/>
              </w:rPr>
            </w:pPr>
          </w:p>
          <w:p w14:paraId="182C7202">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（林市）应急罚〔2026〕08-2号</w:t>
            </w:r>
          </w:p>
          <w:p w14:paraId="24BEFC14">
            <w:pPr>
              <w:jc w:val="center"/>
              <w:rPr>
                <w:rFonts w:hint="eastAsia" w:ascii="仿宋_GB2312" w:hAnsi="仿宋_GB2312" w:eastAsia="仿宋_GB2312" w:cs="仿宋_GB2312"/>
                <w:sz w:val="24"/>
                <w:szCs w:val="24"/>
                <w:lang w:val="en-US" w:eastAsia="zh-CN"/>
              </w:rPr>
            </w:pPr>
          </w:p>
        </w:tc>
        <w:tc>
          <w:tcPr>
            <w:tcW w:w="3014" w:type="dxa"/>
            <w:vAlign w:val="center"/>
          </w:tcPr>
          <w:p w14:paraId="7BD1A2EC">
            <w:pPr>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color w:val="auto"/>
                <w:spacing w:val="0"/>
                <w:w w:val="98"/>
                <w:sz w:val="24"/>
                <w:szCs w:val="24"/>
                <w:u w:val="none" w:color="auto"/>
                <w:lang w:eastAsia="zh-CN"/>
              </w:rPr>
              <w:t>成都启扬建筑劳务有限公司</w:t>
            </w:r>
            <w:r>
              <w:rPr>
                <w:rFonts w:hint="eastAsia" w:ascii="仿宋_GB2312" w:hAnsi="仿宋_GB2312" w:eastAsia="仿宋_GB2312" w:cs="仿宋_GB2312"/>
                <w:color w:val="auto"/>
                <w:spacing w:val="0"/>
                <w:w w:val="98"/>
                <w:sz w:val="24"/>
                <w:szCs w:val="24"/>
                <w:u w:val="none" w:color="auto"/>
                <w:lang w:val="en-US" w:eastAsia="zh-CN"/>
              </w:rPr>
              <w:t>法定代表人和</w:t>
            </w:r>
            <w:r>
              <w:rPr>
                <w:rFonts w:hint="eastAsia" w:ascii="仿宋_GB2312" w:hAnsi="仿宋_GB2312" w:eastAsia="仿宋_GB2312" w:cs="仿宋_GB2312"/>
                <w:sz w:val="24"/>
                <w:szCs w:val="24"/>
              </w:rPr>
              <w:t>主要负责人邹献军未参与企业安全管理，未履行法定职责。例如：未到施工现场检查过，只是偶尔通过视频会议安排部署相关工作，对本起事故负安全管理责任。违反了《中华人民共和国安全生产法》第二十一条第二项、第五项的规定</w:t>
            </w:r>
            <w:r>
              <w:rPr>
                <w:rFonts w:hint="eastAsia" w:ascii="仿宋_GB2312" w:hAnsi="仿宋_GB2312" w:eastAsia="仿宋_GB2312" w:cs="仿宋_GB2312"/>
                <w:sz w:val="24"/>
                <w:szCs w:val="24"/>
                <w:lang w:eastAsia="zh-CN"/>
              </w:rPr>
              <w:t>。</w:t>
            </w:r>
          </w:p>
        </w:tc>
        <w:tc>
          <w:tcPr>
            <w:tcW w:w="2034" w:type="dxa"/>
            <w:vAlign w:val="center"/>
          </w:tcPr>
          <w:p w14:paraId="4B701DA8">
            <w:pPr>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依据《中华人民共和国安全生产法》第九十五条第一项以及应急管理部《应急管理行政处罚裁量权基准》（2024版）裁量细则第94条A档的规定</w:t>
            </w:r>
            <w:r>
              <w:rPr>
                <w:rFonts w:hint="eastAsia" w:ascii="仿宋_GB2312" w:hAnsi="仿宋_GB2312" w:eastAsia="仿宋_GB2312" w:cs="仿宋_GB2312"/>
                <w:sz w:val="24"/>
                <w:szCs w:val="24"/>
                <w:lang w:eastAsia="zh-CN"/>
              </w:rPr>
              <w:t>。</w:t>
            </w:r>
          </w:p>
        </w:tc>
        <w:tc>
          <w:tcPr>
            <w:tcW w:w="1197" w:type="dxa"/>
            <w:vAlign w:val="center"/>
          </w:tcPr>
          <w:p w14:paraId="127324FB">
            <w:p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对邹献军处上一年年收入百分之四十，共计人民币24600元（贰万肆仟陆佰元整）罚款之行政处罚。</w:t>
            </w:r>
          </w:p>
        </w:tc>
        <w:tc>
          <w:tcPr>
            <w:tcW w:w="880" w:type="dxa"/>
            <w:vAlign w:val="center"/>
          </w:tcPr>
          <w:p w14:paraId="476414CC">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2026年10月27日</w:t>
            </w:r>
          </w:p>
        </w:tc>
        <w:tc>
          <w:tcPr>
            <w:tcW w:w="853" w:type="dxa"/>
            <w:vAlign w:val="center"/>
          </w:tcPr>
          <w:p w14:paraId="0662021B">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林芝</w:t>
            </w:r>
          </w:p>
          <w:p w14:paraId="2FCEC77A">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市应</w:t>
            </w:r>
          </w:p>
          <w:p w14:paraId="214810C8">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急管</w:t>
            </w:r>
          </w:p>
          <w:p w14:paraId="6A230475">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理局</w:t>
            </w:r>
          </w:p>
        </w:tc>
      </w:tr>
      <w:tr w14:paraId="49D7F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167" w:type="dxa"/>
            <w:vAlign w:val="center"/>
          </w:tcPr>
          <w:p w14:paraId="7B57ECAB">
            <w:pPr>
              <w:jc w:val="center"/>
              <w:rPr>
                <w:rFonts w:hint="eastAsia" w:ascii="仿宋_GB2312" w:hAnsi="仿宋_GB2312" w:eastAsia="仿宋_GB2312" w:cs="仿宋_GB2312"/>
                <w:sz w:val="24"/>
                <w:szCs w:val="24"/>
              </w:rPr>
            </w:pPr>
            <w:r>
              <w:rPr>
                <w:rFonts w:hint="eastAsia" w:ascii="仿宋_GB2312" w:hAnsi="仿宋_GB2312" w:eastAsia="仿宋_GB2312" w:cs="仿宋_GB2312"/>
                <w:color w:val="auto"/>
                <w:spacing w:val="0"/>
                <w:w w:val="98"/>
                <w:sz w:val="24"/>
                <w:szCs w:val="24"/>
                <w:u w:val="none" w:color="auto"/>
                <w:lang w:eastAsia="zh-CN"/>
              </w:rPr>
              <w:t>成都启扬建筑劳务有限公司“5·19”一般生产安全事故案</w:t>
            </w:r>
          </w:p>
        </w:tc>
        <w:tc>
          <w:tcPr>
            <w:tcW w:w="1355" w:type="dxa"/>
            <w:vAlign w:val="center"/>
          </w:tcPr>
          <w:p w14:paraId="6180B534">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黄中翔</w:t>
            </w:r>
          </w:p>
        </w:tc>
        <w:tc>
          <w:tcPr>
            <w:tcW w:w="1371" w:type="dxa"/>
            <w:vAlign w:val="center"/>
          </w:tcPr>
          <w:p w14:paraId="4429E989">
            <w:pPr>
              <w:jc w:val="center"/>
              <w:rPr>
                <w:rFonts w:hint="eastAsia" w:ascii="仿宋_GB2312" w:hAnsi="仿宋_GB2312" w:eastAsia="仿宋_GB2312" w:cs="仿宋_GB2312"/>
                <w:sz w:val="24"/>
                <w:szCs w:val="24"/>
                <w:lang w:val="en-US" w:eastAsia="zh-CN"/>
              </w:rPr>
            </w:pPr>
          </w:p>
        </w:tc>
        <w:tc>
          <w:tcPr>
            <w:tcW w:w="1081" w:type="dxa"/>
            <w:vAlign w:val="center"/>
          </w:tcPr>
          <w:p w14:paraId="704CA6E9">
            <w:pPr>
              <w:jc w:val="center"/>
              <w:rPr>
                <w:rFonts w:hint="default" w:ascii="仿宋_GB2312" w:hAnsi="仿宋_GB2312" w:eastAsia="仿宋_GB2312" w:cs="仿宋_GB2312"/>
                <w:sz w:val="24"/>
                <w:szCs w:val="24"/>
                <w:lang w:val="en-US" w:eastAsia="zh-CN"/>
              </w:rPr>
            </w:pPr>
          </w:p>
        </w:tc>
        <w:tc>
          <w:tcPr>
            <w:tcW w:w="1356" w:type="dxa"/>
            <w:vAlign w:val="center"/>
          </w:tcPr>
          <w:p w14:paraId="6D5A727C">
            <w:pPr>
              <w:jc w:val="center"/>
              <w:rPr>
                <w:rFonts w:hint="eastAsia" w:ascii="仿宋_GB2312" w:hAnsi="仿宋_GB2312" w:eastAsia="仿宋_GB2312" w:cs="仿宋_GB2312"/>
                <w:sz w:val="24"/>
                <w:szCs w:val="24"/>
                <w:lang w:val="en-US" w:eastAsia="zh-CN"/>
              </w:rPr>
            </w:pPr>
          </w:p>
          <w:p w14:paraId="0504A381">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（林市）应急罚〔2026〕08-3号</w:t>
            </w:r>
          </w:p>
          <w:p w14:paraId="207A4AEA">
            <w:pPr>
              <w:jc w:val="center"/>
              <w:rPr>
                <w:rFonts w:hint="eastAsia" w:ascii="仿宋_GB2312" w:hAnsi="仿宋_GB2312" w:eastAsia="仿宋_GB2312" w:cs="仿宋_GB2312"/>
                <w:sz w:val="24"/>
                <w:szCs w:val="24"/>
                <w:lang w:val="en-US" w:eastAsia="zh-CN"/>
              </w:rPr>
            </w:pPr>
          </w:p>
        </w:tc>
        <w:tc>
          <w:tcPr>
            <w:tcW w:w="3014" w:type="dxa"/>
            <w:vAlign w:val="center"/>
          </w:tcPr>
          <w:p w14:paraId="4360B8CD">
            <w:pPr>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安全员肖云红安全教育培训和安全技术交底未实现全员覆盖。例如：不清楚自身安全管理职责，未取得安全员相关资质，未将罐车道路行驶环节纳入操作规程，且未针对罐车驾驶员开展安全驾驶方面的教育培训，对本起事故负安全管理责任。违反了《中华人民共和国安全生产法》第二十五条第一款第二项的规定</w:t>
            </w:r>
            <w:r>
              <w:rPr>
                <w:rFonts w:hint="eastAsia" w:ascii="仿宋_GB2312" w:hAnsi="仿宋_GB2312" w:eastAsia="仿宋_GB2312" w:cs="仿宋_GB2312"/>
                <w:sz w:val="24"/>
                <w:szCs w:val="24"/>
                <w:lang w:eastAsia="zh-CN"/>
              </w:rPr>
              <w:t>。</w:t>
            </w:r>
            <w:bookmarkStart w:id="0" w:name="_GoBack"/>
            <w:bookmarkEnd w:id="0"/>
          </w:p>
        </w:tc>
        <w:tc>
          <w:tcPr>
            <w:tcW w:w="2034" w:type="dxa"/>
            <w:vAlign w:val="center"/>
          </w:tcPr>
          <w:p w14:paraId="6B43A990">
            <w:pPr>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依据《中华人民共和国安全生产法》第九十六条以及《生产安全事故罚款处罚规定》（中华人民共和国应急管理部令第14号）第二十条的规定。</w:t>
            </w:r>
          </w:p>
        </w:tc>
        <w:tc>
          <w:tcPr>
            <w:tcW w:w="1197" w:type="dxa"/>
            <w:vAlign w:val="center"/>
          </w:tcPr>
          <w:p w14:paraId="18533795">
            <w:pPr>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对肖云红处上一年年收入百分之二十五，共计人民币22882.35元（贰万贰仟捌佰捌拾贰元叁角伍分）罚款的行政处罚。</w:t>
            </w:r>
          </w:p>
        </w:tc>
        <w:tc>
          <w:tcPr>
            <w:tcW w:w="880" w:type="dxa"/>
            <w:vAlign w:val="center"/>
          </w:tcPr>
          <w:p w14:paraId="57888A8C">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2026年10月27日</w:t>
            </w:r>
          </w:p>
        </w:tc>
        <w:tc>
          <w:tcPr>
            <w:tcW w:w="853" w:type="dxa"/>
            <w:vAlign w:val="center"/>
          </w:tcPr>
          <w:p w14:paraId="2B47122C">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林芝</w:t>
            </w:r>
          </w:p>
          <w:p w14:paraId="71D43E26">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市应</w:t>
            </w:r>
          </w:p>
          <w:p w14:paraId="5BB66252">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急管</w:t>
            </w:r>
          </w:p>
          <w:p w14:paraId="5356D32D">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理局</w:t>
            </w:r>
          </w:p>
        </w:tc>
      </w:tr>
    </w:tbl>
    <w:p w14:paraId="65A3B2F4">
      <w:pPr>
        <w:rPr>
          <w:rFonts w:hint="default" w:eastAsiaTheme="minorEastAsia"/>
          <w:vertAlign w:val="baseline"/>
          <w:lang w:val="en-US" w:eastAsia="zh-CN"/>
        </w:rPr>
      </w:pPr>
    </w:p>
    <w:sectPr>
      <w:footerReference r:id="rId3" w:type="default"/>
      <w:pgSz w:w="16838" w:h="11906" w:orient="landscape"/>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C1F23">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AA88EF">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lang w:val="en-US" w:eastAsia="zh-CN"/>
                            </w:rPr>
                            <w:t>4</w:t>
                          </w:r>
                          <w:r>
                            <w:rPr>
                              <w:rFonts w:hint="eastAsia" w:ascii="宋体" w:hAnsi="宋体" w:eastAsia="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AA88EF">
                    <w:pPr>
                      <w:pStyle w:val="4"/>
                      <w:rPr>
                        <w:rFonts w:hint="eastAsia" w:ascii="宋体" w:hAnsi="宋体" w:eastAsia="宋体" w:cs="宋体"/>
                        <w:sz w:val="28"/>
                        <w:szCs w:val="28"/>
                      </w:rPr>
                    </w:pPr>
                    <w:r>
                      <w:rPr>
                        <w:rFonts w:hint="eastAsia" w:ascii="宋体" w:hAnsi="宋体" w:eastAsia="宋体" w:cs="宋体"/>
                        <w:sz w:val="28"/>
                        <w:szCs w:val="28"/>
                      </w:rPr>
                      <w:t xml:space="preserve">第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页 共 </w:t>
                    </w:r>
                    <w:r>
                      <w:rPr>
                        <w:rFonts w:hint="eastAsia" w:ascii="宋体" w:hAnsi="宋体" w:eastAsia="宋体" w:cs="宋体"/>
                        <w:sz w:val="28"/>
                        <w:szCs w:val="28"/>
                        <w:lang w:val="en-US" w:eastAsia="zh-CN"/>
                      </w:rPr>
                      <w:t>4</w:t>
                    </w:r>
                    <w:r>
                      <w:rPr>
                        <w:rFonts w:hint="eastAsia" w:ascii="宋体" w:hAnsi="宋体" w:eastAsia="宋体" w:cs="宋体"/>
                        <w:sz w:val="28"/>
                        <w:szCs w:val="28"/>
                      </w:rP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F26088"/>
    <w:rsid w:val="09972933"/>
    <w:rsid w:val="09B47989"/>
    <w:rsid w:val="09D24977"/>
    <w:rsid w:val="09EE7772"/>
    <w:rsid w:val="0B6C4D04"/>
    <w:rsid w:val="0E72571D"/>
    <w:rsid w:val="0EA24254"/>
    <w:rsid w:val="11005262"/>
    <w:rsid w:val="124E16F4"/>
    <w:rsid w:val="139F77B7"/>
    <w:rsid w:val="17370C20"/>
    <w:rsid w:val="19622F5E"/>
    <w:rsid w:val="1B60171F"/>
    <w:rsid w:val="1BF57758"/>
    <w:rsid w:val="1E2660F3"/>
    <w:rsid w:val="1F7BD5AC"/>
    <w:rsid w:val="22DB5B2F"/>
    <w:rsid w:val="257B0F03"/>
    <w:rsid w:val="25F50F06"/>
    <w:rsid w:val="260138D9"/>
    <w:rsid w:val="28173251"/>
    <w:rsid w:val="281B76B8"/>
    <w:rsid w:val="29FF05DF"/>
    <w:rsid w:val="2A3390E8"/>
    <w:rsid w:val="2B4FF837"/>
    <w:rsid w:val="2B9B6D6C"/>
    <w:rsid w:val="2BCA3346"/>
    <w:rsid w:val="2DE6003B"/>
    <w:rsid w:val="2E2155F3"/>
    <w:rsid w:val="2F177EEF"/>
    <w:rsid w:val="34832659"/>
    <w:rsid w:val="35F40F8A"/>
    <w:rsid w:val="363F3435"/>
    <w:rsid w:val="372C43C2"/>
    <w:rsid w:val="37B54749"/>
    <w:rsid w:val="38C23BD3"/>
    <w:rsid w:val="391A750D"/>
    <w:rsid w:val="3ADFF14D"/>
    <w:rsid w:val="3BB4D400"/>
    <w:rsid w:val="3D08554E"/>
    <w:rsid w:val="3DD64ECE"/>
    <w:rsid w:val="3E5E1F31"/>
    <w:rsid w:val="3F0044FB"/>
    <w:rsid w:val="3FE7A66D"/>
    <w:rsid w:val="3FF50C33"/>
    <w:rsid w:val="40C94DC1"/>
    <w:rsid w:val="40DB5220"/>
    <w:rsid w:val="41961147"/>
    <w:rsid w:val="438F40A0"/>
    <w:rsid w:val="455822D0"/>
    <w:rsid w:val="45C2F381"/>
    <w:rsid w:val="45C862F3"/>
    <w:rsid w:val="46407FFA"/>
    <w:rsid w:val="48A14C9D"/>
    <w:rsid w:val="49A83A80"/>
    <w:rsid w:val="4AB12FBE"/>
    <w:rsid w:val="4B970BD2"/>
    <w:rsid w:val="4CFB09F8"/>
    <w:rsid w:val="4DE46AA8"/>
    <w:rsid w:val="5019434A"/>
    <w:rsid w:val="53D53D51"/>
    <w:rsid w:val="54D538DD"/>
    <w:rsid w:val="565F4C10"/>
    <w:rsid w:val="59F741AC"/>
    <w:rsid w:val="5CFDD99A"/>
    <w:rsid w:val="5F9F08E6"/>
    <w:rsid w:val="60CF6927"/>
    <w:rsid w:val="63AACDB9"/>
    <w:rsid w:val="649F6014"/>
    <w:rsid w:val="672C16B9"/>
    <w:rsid w:val="67EBDE9C"/>
    <w:rsid w:val="69FF9F10"/>
    <w:rsid w:val="6C0019EF"/>
    <w:rsid w:val="6C755C79"/>
    <w:rsid w:val="6FA10B33"/>
    <w:rsid w:val="6FF746DF"/>
    <w:rsid w:val="71100685"/>
    <w:rsid w:val="71A55565"/>
    <w:rsid w:val="744118C8"/>
    <w:rsid w:val="759E2454"/>
    <w:rsid w:val="75CB4B5C"/>
    <w:rsid w:val="77C33173"/>
    <w:rsid w:val="7D873FCC"/>
    <w:rsid w:val="7D891584"/>
    <w:rsid w:val="7DA75304"/>
    <w:rsid w:val="7DFB7D5E"/>
    <w:rsid w:val="7FFBC337"/>
    <w:rsid w:val="9DFBD8CD"/>
    <w:rsid w:val="9F740B3D"/>
    <w:rsid w:val="A392DB7D"/>
    <w:rsid w:val="AFFFA8AE"/>
    <w:rsid w:val="B2EF5113"/>
    <w:rsid w:val="BBD75DE8"/>
    <w:rsid w:val="BD979E09"/>
    <w:rsid w:val="BDFF3998"/>
    <w:rsid w:val="BFFF21C9"/>
    <w:rsid w:val="D2B5A682"/>
    <w:rsid w:val="D4CB1E42"/>
    <w:rsid w:val="DABF29FD"/>
    <w:rsid w:val="DE9F042F"/>
    <w:rsid w:val="DEFFC9A3"/>
    <w:rsid w:val="DF7D8C3A"/>
    <w:rsid w:val="E3E913E7"/>
    <w:rsid w:val="E5BD70B0"/>
    <w:rsid w:val="E76F4DA0"/>
    <w:rsid w:val="EBFD7930"/>
    <w:rsid w:val="EFB60A0E"/>
    <w:rsid w:val="EFFB8B60"/>
    <w:rsid w:val="F1FAAA7D"/>
    <w:rsid w:val="F4FD71EA"/>
    <w:rsid w:val="F59E8071"/>
    <w:rsid w:val="F725FD8C"/>
    <w:rsid w:val="FBDF4FA9"/>
    <w:rsid w:val="FCFE41D8"/>
    <w:rsid w:val="FD77A3C0"/>
    <w:rsid w:val="FECE1B25"/>
    <w:rsid w:val="FEE799BD"/>
    <w:rsid w:val="FEF45805"/>
    <w:rsid w:val="FF9FB4D8"/>
    <w:rsid w:val="FFCB05E1"/>
    <w:rsid w:val="FFD5EEC8"/>
    <w:rsid w:val="FFFD6473"/>
    <w:rsid w:val="FFFF6577"/>
    <w:rsid w:val="FFFFD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pPr>
      <w:spacing w:after="120" w:afterLines="0" w:afterAutospacing="0"/>
    </w:p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2418</Words>
  <Characters>2549</Characters>
  <Lines>0</Lines>
  <Paragraphs>0</Paragraphs>
  <TotalTime>18</TotalTime>
  <ScaleCrop>false</ScaleCrop>
  <LinksUpToDate>false</LinksUpToDate>
  <CharactersWithSpaces>2551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2021-11-27T00:46:00Z</dcterms:created>
  <dc:creator>123</dc:creator>
  <cp:lastModifiedBy>贪恋～你</cp:lastModifiedBy>
  <cp:lastPrinted>2025-11-05T04:38:00Z</cp:lastPrinted>
  <dcterms:modified xsi:type="dcterms:W3CDTF">2026-10-28T03:41:25Z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E3CD0063C64A4BDCBC7C12762FD6634E</vt:lpwstr>
  </property>
  <property fmtid="{D5CDD505-2E9C-101B-9397-08002B2CF9AE}" pid="4" name="KSOTemplateDocerSaveRecord">
    <vt:lpwstr>eyJoZGlkIjoiY2FiMzY2YjgyZDYxM2I5YjA0MGEwMGZjNWFjNjM5N2EiLCJ1c2VySWQiOiI2MjEyMzI5NzEifQ==</vt:lpwstr>
  </property>
</Properties>
</file>