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240" w:after="240"/>
        <w:jc w:val="left"/>
        <w:outlineLvl w:val="0"/>
        <w:rPr>
          <w:rFonts w:hint="default" w:ascii="宋体" w:hAnsi="宋体" w:eastAsia="宋体" w:cs="宋体"/>
          <w:b/>
          <w:bCs/>
          <w:color w:val="auto"/>
          <w:sz w:val="32"/>
          <w:szCs w:val="32"/>
          <w:lang w:val="en-US" w:eastAsia="zh-CN"/>
        </w:rPr>
      </w:pPr>
      <w:r>
        <w:rPr>
          <w:rFonts w:hint="eastAsia" w:ascii="宋体" w:hAnsi="宋体" w:eastAsia="宋体" w:cs="宋体"/>
          <w:b/>
          <w:bCs/>
          <w:color w:val="auto"/>
          <w:sz w:val="32"/>
          <w:szCs w:val="32"/>
          <w:lang w:eastAsia="zh-CN"/>
        </w:rPr>
        <w:t>附件</w:t>
      </w:r>
      <w:bookmarkStart w:id="0" w:name="_GoBack"/>
      <w:bookmarkEnd w:id="0"/>
      <w:r>
        <w:rPr>
          <w:rFonts w:hint="eastAsia" w:ascii="宋体" w:hAnsi="宋体" w:eastAsia="宋体" w:cs="宋体"/>
          <w:b/>
          <w:bCs/>
          <w:color w:val="auto"/>
          <w:sz w:val="32"/>
          <w:szCs w:val="32"/>
          <w:lang w:val="en-US" w:eastAsia="zh-CN"/>
        </w:rPr>
        <w:t>2</w:t>
      </w:r>
    </w:p>
    <w:p>
      <w:pPr>
        <w:pStyle w:val="2"/>
        <w:spacing w:before="240" w:after="240"/>
        <w:jc w:val="center"/>
        <w:outlineLvl w:val="0"/>
        <w:rPr>
          <w:rFonts w:hint="eastAsia" w:ascii="宋体" w:hAnsi="宋体" w:eastAsia="宋体" w:cs="宋体"/>
          <w:color w:val="auto"/>
        </w:rPr>
      </w:pPr>
      <w:r>
        <w:rPr>
          <w:rFonts w:hint="eastAsia" w:ascii="宋体" w:hAnsi="宋体" w:eastAsia="宋体" w:cs="宋体"/>
          <w:b/>
          <w:bCs/>
          <w:color w:val="auto"/>
          <w:sz w:val="32"/>
          <w:szCs w:val="32"/>
        </w:rPr>
        <w:t>安全产品采购与验收技术要点</w:t>
      </w:r>
    </w:p>
    <w:p>
      <w:pPr>
        <w:pStyle w:val="3"/>
        <w:spacing w:before="180" w:after="180"/>
        <w:outlineLvl w:val="1"/>
        <w:rPr>
          <w:rFonts w:hint="eastAsia" w:ascii="宋体" w:hAnsi="宋体" w:eastAsia="宋体" w:cs="宋体"/>
          <w:color w:val="auto"/>
        </w:rPr>
      </w:pPr>
      <w:r>
        <w:rPr>
          <w:rFonts w:hint="eastAsia" w:ascii="宋体" w:hAnsi="宋体" w:eastAsia="宋体" w:cs="宋体"/>
          <w:b/>
          <w:bCs/>
          <w:color w:val="auto"/>
          <w:sz w:val="28"/>
          <w:szCs w:val="28"/>
        </w:rPr>
        <w:t>一、产品概述</w:t>
      </w:r>
    </w:p>
    <w:p>
      <w:pPr>
        <w:ind w:firstLine="480"/>
        <w:rPr>
          <w:rFonts w:hint="eastAsia" w:ascii="宋体" w:hAnsi="宋体" w:eastAsia="宋体" w:cs="宋体"/>
          <w:color w:val="auto"/>
        </w:rPr>
      </w:pPr>
      <w:r>
        <w:rPr>
          <w:rFonts w:hint="eastAsia" w:ascii="宋体" w:hAnsi="宋体" w:eastAsia="宋体" w:cs="宋体"/>
          <w:color w:val="auto"/>
        </w:rPr>
        <w:t>本次采购涉及四款安全产品，覆盖网络边界防护、上网行为审计、终端安全管理和上网认证四个维度，具体如下：</w:t>
      </w:r>
    </w:p>
    <w:tbl>
      <w:tblPr>
        <w:tblStyle w:val="5"/>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67"/>
        <w:gridCol w:w="2333"/>
        <w:gridCol w:w="2212"/>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467" w:type="dxa"/>
            <w:tcBorders>
              <w:top w:val="single" w:color="CCCCCC" w:sz="0" w:space="0"/>
              <w:left w:val="single" w:color="CCCCCC" w:sz="0" w:space="0"/>
              <w:bottom w:val="single" w:color="CCCCCC" w:sz="0" w:space="0"/>
              <w:right w:val="single" w:color="CCCCCC" w:sz="0" w:space="0"/>
            </w:tcBorders>
            <w:shd w:val="clear" w:color="auto" w:fill="D5E8F0"/>
            <w:vAlign w:val="center"/>
          </w:tcPr>
          <w:p>
            <w:pPr>
              <w:jc w:val="center"/>
              <w:rPr>
                <w:rFonts w:hint="eastAsia" w:ascii="宋体" w:hAnsi="宋体" w:eastAsia="宋体" w:cs="宋体"/>
                <w:color w:val="auto"/>
              </w:rPr>
            </w:pPr>
            <w:r>
              <w:rPr>
                <w:rFonts w:hint="eastAsia" w:ascii="宋体" w:hAnsi="宋体" w:eastAsia="宋体" w:cs="宋体"/>
                <w:b/>
                <w:bCs/>
                <w:color w:val="auto"/>
              </w:rPr>
              <w:t>序号</w:t>
            </w:r>
          </w:p>
        </w:tc>
        <w:tc>
          <w:tcPr>
            <w:tcW w:w="2333" w:type="dxa"/>
            <w:tcBorders>
              <w:top w:val="single" w:color="CCCCCC" w:sz="0" w:space="0"/>
              <w:left w:val="single" w:color="CCCCCC" w:sz="0" w:space="0"/>
              <w:bottom w:val="single" w:color="CCCCCC" w:sz="0" w:space="0"/>
              <w:right w:val="single" w:color="CCCCCC" w:sz="0" w:space="0"/>
            </w:tcBorders>
            <w:shd w:val="clear" w:color="auto" w:fill="D5E8F0"/>
            <w:vAlign w:val="center"/>
          </w:tcPr>
          <w:p>
            <w:pPr>
              <w:jc w:val="center"/>
              <w:rPr>
                <w:rFonts w:hint="eastAsia" w:ascii="宋体" w:hAnsi="宋体" w:eastAsia="宋体" w:cs="宋体"/>
                <w:color w:val="auto"/>
              </w:rPr>
            </w:pPr>
            <w:r>
              <w:rPr>
                <w:rFonts w:hint="eastAsia" w:ascii="宋体" w:hAnsi="宋体" w:eastAsia="宋体" w:cs="宋体"/>
                <w:b/>
                <w:bCs/>
                <w:color w:val="auto"/>
              </w:rPr>
              <w:t>产品名称</w:t>
            </w:r>
          </w:p>
        </w:tc>
        <w:tc>
          <w:tcPr>
            <w:tcW w:w="2212" w:type="dxa"/>
            <w:tcBorders>
              <w:top w:val="single" w:color="CCCCCC" w:sz="0" w:space="0"/>
              <w:left w:val="single" w:color="CCCCCC" w:sz="0" w:space="0"/>
              <w:bottom w:val="single" w:color="CCCCCC" w:sz="0" w:space="0"/>
              <w:right w:val="single" w:color="CCCCCC" w:sz="0" w:space="0"/>
            </w:tcBorders>
            <w:shd w:val="clear" w:color="auto" w:fill="D5E8F0"/>
            <w:vAlign w:val="center"/>
          </w:tcPr>
          <w:p>
            <w:pPr>
              <w:jc w:val="center"/>
              <w:rPr>
                <w:rFonts w:hint="eastAsia" w:ascii="宋体" w:hAnsi="宋体" w:eastAsia="宋体" w:cs="宋体"/>
                <w:color w:val="auto"/>
              </w:rPr>
            </w:pPr>
            <w:r>
              <w:rPr>
                <w:rFonts w:hint="eastAsia" w:ascii="宋体" w:hAnsi="宋体" w:eastAsia="宋体" w:cs="宋体"/>
                <w:b/>
                <w:bCs/>
                <w:color w:val="auto"/>
              </w:rPr>
              <w:t>性能规格</w:t>
            </w:r>
          </w:p>
        </w:tc>
        <w:tc>
          <w:tcPr>
            <w:tcW w:w="3012" w:type="dxa"/>
            <w:tcBorders>
              <w:top w:val="single" w:color="CCCCCC" w:sz="0" w:space="0"/>
              <w:left w:val="single" w:color="CCCCCC" w:sz="0" w:space="0"/>
              <w:bottom w:val="single" w:color="CCCCCC" w:sz="0" w:space="0"/>
              <w:right w:val="single" w:color="CCCCCC" w:sz="0" w:space="0"/>
            </w:tcBorders>
            <w:shd w:val="clear" w:color="auto" w:fill="D5E8F0"/>
            <w:vAlign w:val="center"/>
          </w:tcPr>
          <w:p>
            <w:pPr>
              <w:jc w:val="center"/>
              <w:rPr>
                <w:rFonts w:hint="eastAsia" w:ascii="宋体" w:hAnsi="宋体" w:eastAsia="宋体" w:cs="宋体"/>
                <w:color w:val="auto"/>
              </w:rPr>
            </w:pPr>
            <w:r>
              <w:rPr>
                <w:rFonts w:hint="eastAsia" w:ascii="宋体" w:hAnsi="宋体" w:eastAsia="宋体" w:cs="宋体"/>
                <w:b/>
                <w:bCs/>
                <w:color w:val="auto"/>
              </w:rPr>
              <w:t>核心功能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467"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1</w:t>
            </w:r>
          </w:p>
        </w:tc>
        <w:tc>
          <w:tcPr>
            <w:tcW w:w="2333"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安全大脑（防护版）</w:t>
            </w:r>
          </w:p>
        </w:tc>
        <w:tc>
          <w:tcPr>
            <w:tcW w:w="22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lang w:eastAsia="zh-CN"/>
              </w:rPr>
            </w:pPr>
            <w:r>
              <w:rPr>
                <w:rFonts w:hint="eastAsia" w:ascii="宋体" w:hAnsi="宋体" w:eastAsia="宋体" w:cs="宋体"/>
                <w:color w:val="auto"/>
              </w:rPr>
              <w:t>吞吐量</w:t>
            </w:r>
            <w:r>
              <w:rPr>
                <w:rFonts w:hint="eastAsia" w:ascii="宋体" w:hAnsi="宋体" w:eastAsia="宋体" w:cs="宋体"/>
                <w:color w:val="auto"/>
                <w:lang w:val="en-US" w:eastAsia="zh-CN"/>
              </w:rPr>
              <w:t>7</w:t>
            </w:r>
            <w:r>
              <w:rPr>
                <w:rFonts w:hint="eastAsia" w:ascii="宋体" w:hAnsi="宋体" w:eastAsia="宋体" w:cs="宋体"/>
                <w:color w:val="auto"/>
              </w:rPr>
              <w:t>00Mbps</w:t>
            </w:r>
          </w:p>
          <w:p>
            <w:pPr>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带宽300Mbps</w:t>
            </w:r>
          </w:p>
        </w:tc>
        <w:tc>
          <w:tcPr>
            <w:tcW w:w="30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下一代防火墙，含基础软件、应用识别、IPSECVPN、入侵防御、防病毒、URL过滤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467"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2</w:t>
            </w:r>
          </w:p>
        </w:tc>
        <w:tc>
          <w:tcPr>
            <w:tcW w:w="2333"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安全大脑（审计版）</w:t>
            </w:r>
          </w:p>
        </w:tc>
        <w:tc>
          <w:tcPr>
            <w:tcW w:w="22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lang w:eastAsia="zh-CN"/>
              </w:rPr>
            </w:pPr>
            <w:r>
              <w:rPr>
                <w:rFonts w:hint="eastAsia" w:ascii="宋体" w:hAnsi="宋体" w:eastAsia="宋体" w:cs="宋体"/>
                <w:color w:val="auto"/>
              </w:rPr>
              <w:t>吞吐量</w:t>
            </w:r>
            <w:r>
              <w:rPr>
                <w:rFonts w:hint="eastAsia" w:ascii="宋体" w:hAnsi="宋体" w:eastAsia="宋体" w:cs="宋体"/>
                <w:color w:val="auto"/>
                <w:lang w:val="en-US" w:eastAsia="zh-CN"/>
              </w:rPr>
              <w:t>7</w:t>
            </w:r>
            <w:r>
              <w:rPr>
                <w:rFonts w:hint="eastAsia" w:ascii="宋体" w:hAnsi="宋体" w:eastAsia="宋体" w:cs="宋体"/>
                <w:color w:val="auto"/>
              </w:rPr>
              <w:t>00Mbps</w:t>
            </w:r>
          </w:p>
          <w:p>
            <w:pPr>
              <w:jc w:val="center"/>
              <w:rPr>
                <w:rFonts w:hint="eastAsia" w:ascii="宋体" w:hAnsi="宋体" w:eastAsia="宋体" w:cs="宋体"/>
                <w:color w:val="auto"/>
              </w:rPr>
            </w:pPr>
            <w:r>
              <w:rPr>
                <w:rFonts w:hint="eastAsia" w:ascii="宋体" w:hAnsi="宋体" w:eastAsia="宋体" w:cs="宋体"/>
                <w:color w:val="auto"/>
                <w:lang w:val="en-US" w:eastAsia="zh-CN"/>
              </w:rPr>
              <w:t>带宽300Mbps</w:t>
            </w:r>
          </w:p>
        </w:tc>
        <w:tc>
          <w:tcPr>
            <w:tcW w:w="30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上网行为管理、多线调度、可视化流量管理、流量集中管控、SD-WAN组网、集中日志审计、云端服务报表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467"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2333"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云镜主机安全</w:t>
            </w:r>
          </w:p>
        </w:tc>
        <w:tc>
          <w:tcPr>
            <w:tcW w:w="22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终端数量按需配置</w:t>
            </w:r>
          </w:p>
        </w:tc>
        <w:tc>
          <w:tcPr>
            <w:tcW w:w="30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PC终端查杀病毒、软件管理、漏洞补丁、统一升级管理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467"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4</w:t>
            </w:r>
          </w:p>
        </w:tc>
        <w:tc>
          <w:tcPr>
            <w:tcW w:w="2333"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上网认证短信包</w:t>
            </w:r>
          </w:p>
        </w:tc>
        <w:tc>
          <w:tcPr>
            <w:tcW w:w="22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600元/10000条</w:t>
            </w:r>
          </w:p>
        </w:tc>
        <w:tc>
          <w:tcPr>
            <w:tcW w:w="3012" w:type="dxa"/>
            <w:tcBorders>
              <w:top w:val="single" w:color="CCCCCC" w:sz="0" w:space="0"/>
              <w:left w:val="single" w:color="CCCCCC" w:sz="0" w:space="0"/>
              <w:bottom w:val="single" w:color="CCCCCC" w:sz="0" w:space="0"/>
              <w:right w:val="single" w:color="CCCCCC" w:sz="0" w:space="0"/>
            </w:tcBorders>
            <w:vAlign w:val="center"/>
          </w:tcPr>
          <w:p>
            <w:pPr>
              <w:jc w:val="center"/>
              <w:rPr>
                <w:rFonts w:hint="eastAsia" w:ascii="宋体" w:hAnsi="宋体" w:eastAsia="宋体" w:cs="宋体"/>
                <w:color w:val="auto"/>
              </w:rPr>
            </w:pPr>
            <w:r>
              <w:rPr>
                <w:rFonts w:hint="eastAsia" w:ascii="宋体" w:hAnsi="宋体" w:eastAsia="宋体" w:cs="宋体"/>
                <w:color w:val="auto"/>
              </w:rPr>
              <w:t>上网认证短信通知，可增购</w:t>
            </w:r>
          </w:p>
        </w:tc>
      </w:tr>
    </w:tbl>
    <w:p>
      <w:pPr>
        <w:pStyle w:val="3"/>
        <w:spacing w:before="180" w:after="180"/>
        <w:outlineLvl w:val="1"/>
        <w:rPr>
          <w:rFonts w:hint="eastAsia" w:ascii="宋体" w:hAnsi="宋体" w:eastAsia="宋体" w:cs="宋体"/>
          <w:color w:val="auto"/>
        </w:rPr>
      </w:pPr>
      <w:r>
        <w:rPr>
          <w:rFonts w:hint="eastAsia" w:ascii="宋体" w:hAnsi="宋体" w:eastAsia="宋体" w:cs="宋体"/>
          <w:b/>
          <w:bCs/>
          <w:color w:val="auto"/>
          <w:sz w:val="28"/>
          <w:szCs w:val="28"/>
        </w:rPr>
        <w:t>二、采购技术要点</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2.1性能与容量要求</w:t>
      </w:r>
    </w:p>
    <w:p>
      <w:pPr>
        <w:ind w:firstLine="480"/>
        <w:rPr>
          <w:rFonts w:hint="eastAsia" w:ascii="宋体" w:hAnsi="宋体" w:eastAsia="宋体" w:cs="宋体"/>
          <w:color w:val="auto"/>
        </w:rPr>
      </w:pPr>
      <w:r>
        <w:rPr>
          <w:rFonts w:hint="eastAsia" w:ascii="宋体" w:hAnsi="宋体" w:eastAsia="宋体" w:cs="宋体"/>
          <w:b/>
          <w:bCs/>
          <w:color w:val="auto"/>
        </w:rPr>
        <w:t>安全大脑（防护版/审计版）300M</w:t>
      </w:r>
    </w:p>
    <w:p>
      <w:pPr>
        <w:pStyle w:val="7"/>
        <w:numPr>
          <w:ilvl w:val="0"/>
          <w:numId w:val="1"/>
        </w:numPr>
        <w:rPr>
          <w:rFonts w:hint="eastAsia" w:ascii="宋体" w:hAnsi="宋体" w:eastAsia="宋体" w:cs="宋体"/>
          <w:color w:val="auto"/>
        </w:rPr>
      </w:pPr>
      <w:r>
        <w:rPr>
          <w:rFonts w:hint="eastAsia" w:ascii="宋体" w:hAnsi="宋体" w:eastAsia="宋体" w:cs="宋体"/>
          <w:color w:val="auto"/>
          <w:lang w:val="en-US" w:eastAsia="zh-CN"/>
        </w:rPr>
        <w:t>带宽</w:t>
      </w:r>
      <w:r>
        <w:rPr>
          <w:rFonts w:hint="eastAsia" w:ascii="宋体" w:hAnsi="宋体" w:eastAsia="宋体" w:cs="宋体"/>
          <w:color w:val="auto"/>
        </w:rPr>
        <w:t>应不低于300Mbps，需在开启全部安全功能（入侵防御、防病毒、URL过滤等）条件下测试，而非裸机转发性能。</w:t>
      </w:r>
    </w:p>
    <w:p>
      <w:pPr>
        <w:pStyle w:val="7"/>
        <w:numPr>
          <w:ilvl w:val="0"/>
          <w:numId w:val="1"/>
        </w:numPr>
        <w:rPr>
          <w:rFonts w:hint="eastAsia" w:ascii="宋体" w:hAnsi="宋体" w:eastAsia="宋体" w:cs="宋体"/>
          <w:color w:val="auto"/>
        </w:rPr>
      </w:pPr>
      <w:r>
        <w:rPr>
          <w:rFonts w:hint="eastAsia" w:ascii="宋体" w:hAnsi="宋体" w:eastAsia="宋体" w:cs="宋体"/>
          <w:color w:val="auto"/>
        </w:rPr>
        <w:t>并发连接数应满足实际网络环境峰值需求，建议不低于50万并发连接。</w:t>
      </w:r>
    </w:p>
    <w:p>
      <w:pPr>
        <w:pStyle w:val="7"/>
        <w:numPr>
          <w:ilvl w:val="0"/>
          <w:numId w:val="1"/>
        </w:numPr>
        <w:rPr>
          <w:rFonts w:hint="eastAsia" w:ascii="宋体" w:hAnsi="宋体" w:eastAsia="宋体" w:cs="宋体"/>
          <w:color w:val="auto"/>
        </w:rPr>
      </w:pPr>
      <w:r>
        <w:rPr>
          <w:rFonts w:hint="eastAsia" w:ascii="宋体" w:hAnsi="宋体" w:eastAsia="宋体" w:cs="宋体"/>
          <w:color w:val="auto"/>
        </w:rPr>
        <w:t>新建连接速率不低于</w:t>
      </w:r>
      <w:r>
        <w:rPr>
          <w:rFonts w:hint="eastAsia" w:ascii="宋体" w:hAnsi="宋体" w:eastAsia="宋体" w:cs="宋体"/>
          <w:color w:val="auto"/>
          <w:lang w:val="en-US" w:eastAsia="zh-CN"/>
        </w:rPr>
        <w:t>2</w:t>
      </w:r>
      <w:r>
        <w:rPr>
          <w:rFonts w:hint="eastAsia" w:ascii="宋体" w:hAnsi="宋体" w:eastAsia="宋体" w:cs="宋体"/>
          <w:color w:val="auto"/>
        </w:rPr>
        <w:t>0000cps（连接/秒），确保突发流量场景下的处理能力。</w:t>
      </w:r>
    </w:p>
    <w:p>
      <w:pPr>
        <w:ind w:firstLine="480"/>
        <w:rPr>
          <w:rFonts w:hint="eastAsia" w:ascii="宋体" w:hAnsi="宋体" w:eastAsia="宋体" w:cs="宋体"/>
          <w:color w:val="auto"/>
        </w:rPr>
      </w:pPr>
      <w:r>
        <w:rPr>
          <w:rFonts w:hint="eastAsia" w:ascii="宋体" w:hAnsi="宋体" w:eastAsia="宋体" w:cs="宋体"/>
          <w:b/>
          <w:bCs/>
          <w:color w:val="auto"/>
        </w:rPr>
        <w:t>云镜主机安全</w:t>
      </w:r>
    </w:p>
    <w:p>
      <w:pPr>
        <w:pStyle w:val="7"/>
        <w:numPr>
          <w:ilvl w:val="0"/>
          <w:numId w:val="2"/>
        </w:numPr>
        <w:rPr>
          <w:rFonts w:hint="eastAsia" w:ascii="宋体" w:hAnsi="宋体" w:eastAsia="宋体" w:cs="宋体"/>
          <w:color w:val="auto"/>
        </w:rPr>
      </w:pPr>
      <w:r>
        <w:rPr>
          <w:rFonts w:hint="eastAsia" w:ascii="宋体" w:hAnsi="宋体" w:eastAsia="宋体" w:cs="宋体"/>
          <w:color w:val="auto"/>
        </w:rPr>
        <w:t>需明确授权终端数量及扩容方式（按终端数授权或按站点授权）。</w:t>
      </w:r>
    </w:p>
    <w:p>
      <w:pPr>
        <w:pStyle w:val="7"/>
        <w:numPr>
          <w:ilvl w:val="0"/>
          <w:numId w:val="2"/>
        </w:numPr>
        <w:rPr>
          <w:rFonts w:hint="eastAsia" w:ascii="宋体" w:hAnsi="宋体" w:eastAsia="宋体" w:cs="宋体"/>
          <w:color w:val="auto"/>
        </w:rPr>
      </w:pPr>
      <w:r>
        <w:rPr>
          <w:rFonts w:hint="eastAsia" w:ascii="宋体" w:hAnsi="宋体" w:eastAsia="宋体" w:cs="宋体"/>
          <w:color w:val="auto"/>
        </w:rPr>
        <w:t>查杀引擎应支持在线更新病毒库，更新频率不低于每日一次。</w:t>
      </w:r>
    </w:p>
    <w:p>
      <w:pPr>
        <w:pStyle w:val="7"/>
        <w:numPr>
          <w:ilvl w:val="0"/>
          <w:numId w:val="2"/>
        </w:numPr>
        <w:rPr>
          <w:rFonts w:hint="eastAsia" w:ascii="宋体" w:hAnsi="宋体" w:eastAsia="宋体" w:cs="宋体"/>
          <w:color w:val="auto"/>
        </w:rPr>
      </w:pPr>
      <w:r>
        <w:rPr>
          <w:rFonts w:hint="eastAsia" w:ascii="宋体" w:hAnsi="宋体" w:eastAsia="宋体" w:cs="宋体"/>
          <w:color w:val="auto"/>
        </w:rPr>
        <w:t>漏洞补丁库应覆盖主流操作系统（Windows系列）及常见应用软件，补丁库更新及时性不超过厂商发布后48小时。</w:t>
      </w:r>
    </w:p>
    <w:p>
      <w:pPr>
        <w:ind w:firstLine="480"/>
        <w:rPr>
          <w:rFonts w:hint="eastAsia" w:ascii="宋体" w:hAnsi="宋体" w:eastAsia="宋体" w:cs="宋体"/>
          <w:color w:val="auto"/>
        </w:rPr>
      </w:pPr>
      <w:r>
        <w:rPr>
          <w:rFonts w:hint="eastAsia" w:ascii="宋体" w:hAnsi="宋体" w:eastAsia="宋体" w:cs="宋体"/>
          <w:b/>
          <w:bCs/>
          <w:color w:val="auto"/>
        </w:rPr>
        <w:t>上网认证短信包</w:t>
      </w:r>
    </w:p>
    <w:p>
      <w:pPr>
        <w:pStyle w:val="7"/>
        <w:numPr>
          <w:ilvl w:val="0"/>
          <w:numId w:val="3"/>
        </w:numPr>
        <w:rPr>
          <w:rFonts w:hint="eastAsia" w:ascii="宋体" w:hAnsi="宋体" w:eastAsia="宋体" w:cs="宋体"/>
          <w:color w:val="auto"/>
        </w:rPr>
      </w:pPr>
      <w:r>
        <w:rPr>
          <w:rFonts w:hint="eastAsia" w:ascii="宋体" w:hAnsi="宋体" w:eastAsia="宋体" w:cs="宋体"/>
          <w:color w:val="auto"/>
        </w:rPr>
        <w:t>明确短信单价（600元/10000条）及计费方式（按发送成功计费或按提交计费）。</w:t>
      </w:r>
    </w:p>
    <w:p>
      <w:pPr>
        <w:pStyle w:val="7"/>
        <w:numPr>
          <w:ilvl w:val="0"/>
          <w:numId w:val="3"/>
        </w:numPr>
        <w:rPr>
          <w:rFonts w:hint="eastAsia" w:ascii="宋体" w:hAnsi="宋体" w:eastAsia="宋体" w:cs="宋体"/>
          <w:color w:val="auto"/>
        </w:rPr>
      </w:pPr>
      <w:r>
        <w:rPr>
          <w:rFonts w:hint="eastAsia" w:ascii="宋体" w:hAnsi="宋体" w:eastAsia="宋体" w:cs="宋体"/>
          <w:color w:val="auto"/>
        </w:rPr>
        <w:t>短信到达率应不低于95%，到达延迟不超过10秒。</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2.2功能完整性要求</w:t>
      </w:r>
    </w:p>
    <w:p>
      <w:pPr>
        <w:ind w:firstLine="480"/>
        <w:rPr>
          <w:rFonts w:hint="eastAsia" w:ascii="宋体" w:hAnsi="宋体" w:eastAsia="宋体" w:cs="宋体"/>
          <w:color w:val="auto"/>
        </w:rPr>
      </w:pPr>
      <w:r>
        <w:rPr>
          <w:rFonts w:hint="eastAsia" w:ascii="宋体" w:hAnsi="宋体" w:eastAsia="宋体" w:cs="宋体"/>
          <w:b/>
          <w:bCs/>
          <w:color w:val="auto"/>
        </w:rPr>
        <w:t>安全大脑（防护版）</w:t>
      </w:r>
    </w:p>
    <w:p>
      <w:pPr>
        <w:pStyle w:val="7"/>
        <w:numPr>
          <w:ilvl w:val="0"/>
          <w:numId w:val="4"/>
        </w:numPr>
        <w:rPr>
          <w:rFonts w:hint="eastAsia" w:ascii="宋体" w:hAnsi="宋体" w:eastAsia="宋体" w:cs="宋体"/>
          <w:color w:val="auto"/>
        </w:rPr>
      </w:pPr>
      <w:r>
        <w:rPr>
          <w:rFonts w:hint="eastAsia" w:ascii="宋体" w:hAnsi="宋体" w:eastAsia="宋体" w:cs="宋体"/>
          <w:color w:val="auto"/>
        </w:rPr>
        <w:t>应用识别：应支持不少于</w:t>
      </w:r>
      <w:r>
        <w:rPr>
          <w:rFonts w:hint="eastAsia" w:ascii="宋体" w:hAnsi="宋体" w:eastAsia="宋体" w:cs="宋体"/>
          <w:color w:val="auto"/>
          <w:lang w:val="en-US" w:eastAsia="zh-CN"/>
        </w:rPr>
        <w:t>5</w:t>
      </w:r>
      <w:r>
        <w:rPr>
          <w:rFonts w:hint="eastAsia" w:ascii="宋体" w:hAnsi="宋体" w:eastAsia="宋体" w:cs="宋体"/>
          <w:color w:val="auto"/>
        </w:rPr>
        <w:t>000种应用协议识别，覆盖常见办公应用、即时通讯、P2P、流媒体等，识别准确率不低于95%。</w:t>
      </w:r>
    </w:p>
    <w:p>
      <w:pPr>
        <w:pStyle w:val="7"/>
        <w:numPr>
          <w:ilvl w:val="0"/>
          <w:numId w:val="4"/>
        </w:numPr>
        <w:rPr>
          <w:rFonts w:hint="eastAsia" w:ascii="宋体" w:hAnsi="宋体" w:eastAsia="宋体" w:cs="宋体"/>
          <w:color w:val="auto"/>
        </w:rPr>
      </w:pPr>
      <w:r>
        <w:rPr>
          <w:rFonts w:hint="eastAsia" w:ascii="宋体" w:hAnsi="宋体" w:eastAsia="宋体" w:cs="宋体"/>
          <w:color w:val="auto"/>
        </w:rPr>
        <w:t>IPSECVPN：应支持站点到站点（Site-to-Site）及远程接入两种模式，支持AES-256加密算法，兼容主流第三方VPN设备互通。</w:t>
      </w:r>
    </w:p>
    <w:p>
      <w:pPr>
        <w:pStyle w:val="7"/>
        <w:numPr>
          <w:ilvl w:val="0"/>
          <w:numId w:val="4"/>
        </w:numPr>
        <w:rPr>
          <w:rFonts w:hint="eastAsia" w:ascii="宋体" w:hAnsi="宋体" w:eastAsia="宋体" w:cs="宋体"/>
          <w:color w:val="auto"/>
        </w:rPr>
      </w:pPr>
      <w:r>
        <w:rPr>
          <w:rFonts w:hint="eastAsia" w:ascii="宋体" w:hAnsi="宋体" w:eastAsia="宋体" w:cs="宋体"/>
          <w:color w:val="auto"/>
        </w:rPr>
        <w:t>入侵防御：应具备特征库与行为分析双重检测能力，特征库覆盖CVE漏洞库，更新频率不低于每周一次，误报率应低于1%。</w:t>
      </w:r>
    </w:p>
    <w:p>
      <w:pPr>
        <w:pStyle w:val="7"/>
        <w:numPr>
          <w:ilvl w:val="0"/>
          <w:numId w:val="4"/>
        </w:numPr>
        <w:rPr>
          <w:rFonts w:hint="eastAsia" w:ascii="宋体" w:hAnsi="宋体" w:eastAsia="宋体" w:cs="宋体"/>
          <w:color w:val="auto"/>
        </w:rPr>
      </w:pPr>
      <w:r>
        <w:rPr>
          <w:rFonts w:hint="eastAsia" w:ascii="宋体" w:hAnsi="宋体" w:eastAsia="宋体" w:cs="宋体"/>
          <w:color w:val="auto"/>
        </w:rPr>
        <w:t>防病毒：应支持HTTP/FTP/SMTP/POP3等协议的病毒过滤，病毒库覆盖主流病毒家族，更新频率不低于每日一次。</w:t>
      </w:r>
    </w:p>
    <w:p>
      <w:pPr>
        <w:pStyle w:val="7"/>
        <w:numPr>
          <w:ilvl w:val="0"/>
          <w:numId w:val="4"/>
        </w:numPr>
        <w:rPr>
          <w:rFonts w:hint="eastAsia" w:ascii="宋体" w:hAnsi="宋体" w:eastAsia="宋体" w:cs="宋体"/>
          <w:color w:val="auto"/>
        </w:rPr>
      </w:pPr>
      <w:r>
        <w:rPr>
          <w:rFonts w:hint="eastAsia" w:ascii="宋体" w:hAnsi="宋体" w:eastAsia="宋体" w:cs="宋体"/>
          <w:color w:val="auto"/>
        </w:rPr>
        <w:t>URL过滤：应预置分类URL库（不少于80个分类），支持自定义黑白名单，支持基于用户/部门/时间段的策略控制。</w:t>
      </w:r>
    </w:p>
    <w:p>
      <w:pPr>
        <w:ind w:firstLine="480"/>
        <w:rPr>
          <w:rFonts w:hint="eastAsia" w:ascii="宋体" w:hAnsi="宋体" w:eastAsia="宋体" w:cs="宋体"/>
          <w:color w:val="auto"/>
        </w:rPr>
      </w:pPr>
      <w:r>
        <w:rPr>
          <w:rFonts w:hint="eastAsia" w:ascii="宋体" w:hAnsi="宋体" w:eastAsia="宋体" w:cs="宋体"/>
          <w:b/>
          <w:bCs/>
          <w:color w:val="auto"/>
        </w:rPr>
        <w:t>安全大脑（审计版）</w:t>
      </w:r>
    </w:p>
    <w:p>
      <w:pPr>
        <w:pStyle w:val="7"/>
        <w:numPr>
          <w:ilvl w:val="0"/>
          <w:numId w:val="5"/>
        </w:numPr>
        <w:rPr>
          <w:rFonts w:hint="eastAsia" w:ascii="宋体" w:hAnsi="宋体" w:eastAsia="宋体" w:cs="宋体"/>
          <w:color w:val="auto"/>
        </w:rPr>
      </w:pPr>
      <w:r>
        <w:rPr>
          <w:rFonts w:hint="eastAsia" w:ascii="宋体" w:hAnsi="宋体" w:eastAsia="宋体" w:cs="宋体"/>
          <w:color w:val="auto"/>
        </w:rPr>
        <w:t>上网行为管理：应支持基于用户、应用、时间的细粒度访问控制策略，支持网页访问审计、即时通讯审计、文件传输审计。</w:t>
      </w:r>
    </w:p>
    <w:p>
      <w:pPr>
        <w:pStyle w:val="7"/>
        <w:numPr>
          <w:ilvl w:val="0"/>
          <w:numId w:val="5"/>
        </w:numPr>
        <w:rPr>
          <w:rFonts w:hint="eastAsia" w:ascii="宋体" w:hAnsi="宋体" w:eastAsia="宋体" w:cs="宋体"/>
          <w:color w:val="auto"/>
        </w:rPr>
      </w:pPr>
      <w:r>
        <w:rPr>
          <w:rFonts w:hint="eastAsia" w:ascii="宋体" w:hAnsi="宋体" w:eastAsia="宋体" w:cs="宋体"/>
          <w:color w:val="auto"/>
        </w:rPr>
        <w:t>多线调度：应支持多运营商链路接入，具备智能链路负载均衡与故障切换能力。</w:t>
      </w:r>
    </w:p>
    <w:p>
      <w:pPr>
        <w:pStyle w:val="7"/>
        <w:numPr>
          <w:ilvl w:val="0"/>
          <w:numId w:val="5"/>
        </w:numPr>
        <w:rPr>
          <w:rFonts w:hint="eastAsia" w:ascii="宋体" w:hAnsi="宋体" w:eastAsia="宋体" w:cs="宋体"/>
          <w:color w:val="auto"/>
        </w:rPr>
      </w:pPr>
      <w:r>
        <w:rPr>
          <w:rFonts w:hint="eastAsia" w:ascii="宋体" w:hAnsi="宋体" w:eastAsia="宋体" w:cs="宋体"/>
          <w:color w:val="auto"/>
        </w:rPr>
        <w:t>SD-WAN组网：应支持基于互联网的SD-WAN组网，支持站点间智能选路、链路质量检测与自动切换。</w:t>
      </w:r>
    </w:p>
    <w:p>
      <w:pPr>
        <w:pStyle w:val="7"/>
        <w:numPr>
          <w:ilvl w:val="0"/>
          <w:numId w:val="5"/>
        </w:numPr>
        <w:rPr>
          <w:rFonts w:hint="eastAsia" w:ascii="宋体" w:hAnsi="宋体" w:eastAsia="宋体" w:cs="宋体"/>
          <w:color w:val="auto"/>
        </w:rPr>
      </w:pPr>
      <w:r>
        <w:rPr>
          <w:rFonts w:hint="eastAsia" w:ascii="宋体" w:hAnsi="宋体" w:eastAsia="宋体" w:cs="宋体"/>
          <w:color w:val="auto"/>
        </w:rPr>
        <w:t>集中日志审计：日志存储周期不低于6个月（可扩展），支持日志检索、导出与报表生成。</w:t>
      </w:r>
    </w:p>
    <w:p>
      <w:pPr>
        <w:pStyle w:val="7"/>
        <w:numPr>
          <w:ilvl w:val="0"/>
          <w:numId w:val="5"/>
        </w:numPr>
        <w:rPr>
          <w:rFonts w:hint="eastAsia" w:ascii="宋体" w:hAnsi="宋体" w:eastAsia="宋体" w:cs="宋体"/>
          <w:color w:val="auto"/>
        </w:rPr>
      </w:pPr>
      <w:r>
        <w:rPr>
          <w:rFonts w:hint="eastAsia" w:ascii="宋体" w:hAnsi="宋体" w:eastAsia="宋体" w:cs="宋体"/>
          <w:color w:val="auto"/>
        </w:rPr>
        <w:t>云端服务报表：应支持云端生成可视化报表，报表类型涵盖流量分析、行为审计、安全事件统计等。</w:t>
      </w:r>
    </w:p>
    <w:p>
      <w:pPr>
        <w:ind w:firstLine="480"/>
        <w:rPr>
          <w:rFonts w:hint="eastAsia" w:ascii="宋体" w:hAnsi="宋体" w:eastAsia="宋体" w:cs="宋体"/>
          <w:color w:val="auto"/>
        </w:rPr>
      </w:pPr>
      <w:r>
        <w:rPr>
          <w:rFonts w:hint="eastAsia" w:ascii="宋体" w:hAnsi="宋体" w:eastAsia="宋体" w:cs="宋体"/>
          <w:b/>
          <w:bCs/>
          <w:color w:val="auto"/>
        </w:rPr>
        <w:t>云镜主机安全</w:t>
      </w:r>
    </w:p>
    <w:p>
      <w:pPr>
        <w:pStyle w:val="7"/>
        <w:numPr>
          <w:ilvl w:val="0"/>
          <w:numId w:val="6"/>
        </w:numPr>
        <w:rPr>
          <w:rFonts w:hint="eastAsia" w:ascii="宋体" w:hAnsi="宋体" w:eastAsia="宋体" w:cs="宋体"/>
          <w:color w:val="auto"/>
        </w:rPr>
      </w:pPr>
      <w:r>
        <w:rPr>
          <w:rFonts w:hint="eastAsia" w:ascii="宋体" w:hAnsi="宋体" w:eastAsia="宋体" w:cs="宋体"/>
          <w:color w:val="auto"/>
        </w:rPr>
        <w:t>查杀病毒：应支持全盘扫描、快速扫描、自定义扫描三种模式，支持定时扫描任务调度。</w:t>
      </w:r>
    </w:p>
    <w:p>
      <w:pPr>
        <w:pStyle w:val="7"/>
        <w:numPr>
          <w:ilvl w:val="0"/>
          <w:numId w:val="6"/>
        </w:numPr>
        <w:rPr>
          <w:rFonts w:hint="eastAsia" w:ascii="宋体" w:hAnsi="宋体" w:eastAsia="宋体" w:cs="宋体"/>
          <w:color w:val="auto"/>
        </w:rPr>
      </w:pPr>
      <w:r>
        <w:rPr>
          <w:rFonts w:hint="eastAsia" w:ascii="宋体" w:hAnsi="宋体" w:eastAsia="宋体" w:cs="宋体"/>
          <w:color w:val="auto"/>
        </w:rPr>
        <w:t>软件管理：应支持终端已安装软件的资产盘点、软件黑白名单管控、违规软件告警。</w:t>
      </w:r>
    </w:p>
    <w:p>
      <w:pPr>
        <w:pStyle w:val="7"/>
        <w:numPr>
          <w:ilvl w:val="0"/>
          <w:numId w:val="6"/>
        </w:numPr>
        <w:rPr>
          <w:rFonts w:hint="eastAsia" w:ascii="宋体" w:hAnsi="宋体" w:eastAsia="宋体" w:cs="宋体"/>
          <w:color w:val="auto"/>
        </w:rPr>
      </w:pPr>
      <w:r>
        <w:rPr>
          <w:rFonts w:hint="eastAsia" w:ascii="宋体" w:hAnsi="宋体" w:eastAsia="宋体" w:cs="宋体"/>
          <w:color w:val="auto"/>
        </w:rPr>
        <w:t>漏洞补丁：应支持自动检测终端漏洞，支持补丁分发、安装及安装结果回传，支持补丁灰度发布。</w:t>
      </w:r>
    </w:p>
    <w:p>
      <w:pPr>
        <w:pStyle w:val="7"/>
        <w:numPr>
          <w:ilvl w:val="0"/>
          <w:numId w:val="6"/>
        </w:numPr>
        <w:rPr>
          <w:rFonts w:hint="eastAsia" w:ascii="宋体" w:hAnsi="宋体" w:eastAsia="宋体" w:cs="宋体"/>
          <w:color w:val="auto"/>
        </w:rPr>
      </w:pPr>
      <w:r>
        <w:rPr>
          <w:rFonts w:hint="eastAsia" w:ascii="宋体" w:hAnsi="宋体" w:eastAsia="宋体" w:cs="宋体"/>
          <w:color w:val="auto"/>
        </w:rPr>
        <w:t>统一升级管理：应支持集中统一下发病毒库更新、策略变更，终端离线时支持补传。</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2.3兼容性与集成要求</w:t>
      </w:r>
    </w:p>
    <w:p>
      <w:pPr>
        <w:pStyle w:val="7"/>
        <w:numPr>
          <w:ilvl w:val="0"/>
          <w:numId w:val="7"/>
        </w:numPr>
        <w:rPr>
          <w:rFonts w:hint="eastAsia" w:ascii="宋体" w:hAnsi="宋体" w:eastAsia="宋体" w:cs="宋体"/>
          <w:color w:val="auto"/>
        </w:rPr>
      </w:pPr>
      <w:r>
        <w:rPr>
          <w:rFonts w:hint="eastAsia" w:ascii="宋体" w:hAnsi="宋体" w:eastAsia="宋体" w:cs="宋体"/>
          <w:color w:val="auto"/>
        </w:rPr>
        <w:t>安全大脑防护版与审计版应支持与现有网络架构无缝对接，支持透明桥接、路由、旁路等多种部署模式。</w:t>
      </w:r>
    </w:p>
    <w:p>
      <w:pPr>
        <w:pStyle w:val="7"/>
        <w:numPr>
          <w:ilvl w:val="0"/>
          <w:numId w:val="7"/>
        </w:numPr>
        <w:rPr>
          <w:rFonts w:hint="eastAsia" w:ascii="宋体" w:hAnsi="宋体" w:eastAsia="宋体" w:cs="宋体"/>
          <w:color w:val="auto"/>
        </w:rPr>
      </w:pPr>
      <w:r>
        <w:rPr>
          <w:rFonts w:hint="eastAsia" w:ascii="宋体" w:hAnsi="宋体" w:eastAsia="宋体" w:cs="宋体"/>
          <w:color w:val="auto"/>
        </w:rPr>
        <w:t>两款安全大脑设备应支持统一管理平台或集中管控，实现策略联动与日志关联分析。</w:t>
      </w:r>
    </w:p>
    <w:p>
      <w:pPr>
        <w:pStyle w:val="7"/>
        <w:numPr>
          <w:ilvl w:val="0"/>
          <w:numId w:val="7"/>
        </w:numPr>
        <w:rPr>
          <w:rFonts w:hint="eastAsia" w:ascii="宋体" w:hAnsi="宋体" w:eastAsia="宋体" w:cs="宋体"/>
          <w:color w:val="auto"/>
        </w:rPr>
      </w:pPr>
      <w:r>
        <w:rPr>
          <w:rFonts w:hint="eastAsia" w:ascii="宋体" w:hAnsi="宋体" w:eastAsia="宋体" w:cs="宋体"/>
          <w:color w:val="auto"/>
        </w:rPr>
        <w:t>云镜主机安全管理端应支持Windows7/10/11及主流Linux终端操作系统，兼容32位和64位环境。</w:t>
      </w:r>
    </w:p>
    <w:p>
      <w:pPr>
        <w:pStyle w:val="7"/>
        <w:numPr>
          <w:ilvl w:val="0"/>
          <w:numId w:val="7"/>
        </w:numPr>
        <w:rPr>
          <w:rFonts w:hint="eastAsia" w:ascii="宋体" w:hAnsi="宋体" w:eastAsia="宋体" w:cs="宋体"/>
          <w:color w:val="auto"/>
        </w:rPr>
      </w:pPr>
      <w:r>
        <w:rPr>
          <w:rFonts w:hint="eastAsia" w:ascii="宋体" w:hAnsi="宋体" w:eastAsia="宋体" w:cs="宋体"/>
          <w:color w:val="auto"/>
        </w:rPr>
        <w:t>云镜主机安全应支持与安全大脑防护版进行威胁情报联动，实现终端检测与边界防护协同响应。</w:t>
      </w:r>
    </w:p>
    <w:p>
      <w:pPr>
        <w:pStyle w:val="7"/>
        <w:numPr>
          <w:ilvl w:val="0"/>
          <w:numId w:val="7"/>
        </w:numPr>
        <w:rPr>
          <w:rFonts w:hint="eastAsia" w:ascii="宋体" w:hAnsi="宋体" w:eastAsia="宋体" w:cs="宋体"/>
          <w:color w:val="auto"/>
        </w:rPr>
      </w:pPr>
      <w:r>
        <w:rPr>
          <w:rFonts w:hint="eastAsia" w:ascii="宋体" w:hAnsi="宋体" w:eastAsia="宋体" w:cs="宋体"/>
          <w:color w:val="auto"/>
        </w:rPr>
        <w:t>上网认证短信包应与安全大脑审计版的上网行为管理模块无缝对接，支持短信验证码认证流程。</w:t>
      </w:r>
    </w:p>
    <w:p>
      <w:pPr>
        <w:pStyle w:val="7"/>
        <w:numPr>
          <w:ilvl w:val="0"/>
          <w:numId w:val="7"/>
        </w:numPr>
        <w:rPr>
          <w:rFonts w:hint="eastAsia" w:ascii="宋体" w:hAnsi="宋体" w:eastAsia="宋体" w:cs="宋体"/>
          <w:color w:val="auto"/>
        </w:rPr>
      </w:pPr>
      <w:r>
        <w:rPr>
          <w:rFonts w:hint="eastAsia" w:ascii="宋体" w:hAnsi="宋体" w:eastAsia="宋体" w:cs="宋体"/>
          <w:color w:val="auto"/>
        </w:rPr>
        <w:t>所有产品应支持IPv4/IPv6双栈环境。</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2.4安全合规要求</w:t>
      </w:r>
    </w:p>
    <w:p>
      <w:pPr>
        <w:pStyle w:val="7"/>
        <w:numPr>
          <w:ilvl w:val="0"/>
          <w:numId w:val="8"/>
        </w:numPr>
        <w:rPr>
          <w:rFonts w:hint="eastAsia" w:ascii="宋体" w:hAnsi="宋体" w:eastAsia="宋体" w:cs="宋体"/>
          <w:color w:val="auto"/>
        </w:rPr>
      </w:pPr>
      <w:r>
        <w:rPr>
          <w:rFonts w:hint="eastAsia" w:ascii="宋体" w:hAnsi="宋体" w:eastAsia="宋体" w:cs="宋体"/>
          <w:color w:val="auto"/>
        </w:rPr>
        <w:t>安全大脑防火墙产品应取得公安部《</w:t>
      </w:r>
      <w:r>
        <w:rPr>
          <w:rFonts w:hint="eastAsia" w:ascii="宋体" w:hAnsi="宋体" w:eastAsia="宋体" w:cs="宋体"/>
          <w:color w:val="auto"/>
          <w:lang w:val="en-US" w:eastAsia="zh-CN"/>
        </w:rPr>
        <w:t>网络安全专用产品安全监测证书</w:t>
      </w:r>
      <w:r>
        <w:rPr>
          <w:rFonts w:hint="eastAsia" w:ascii="宋体" w:hAnsi="宋体" w:eastAsia="宋体" w:cs="宋体"/>
          <w:color w:val="auto"/>
        </w:rPr>
        <w:t>》。</w:t>
      </w:r>
    </w:p>
    <w:p>
      <w:pPr>
        <w:pStyle w:val="7"/>
        <w:numPr>
          <w:ilvl w:val="0"/>
          <w:numId w:val="8"/>
        </w:numPr>
        <w:rPr>
          <w:rFonts w:hint="eastAsia" w:ascii="宋体" w:hAnsi="宋体" w:eastAsia="宋体" w:cs="宋体"/>
          <w:color w:val="auto"/>
        </w:rPr>
      </w:pPr>
      <w:r>
        <w:rPr>
          <w:rFonts w:hint="eastAsia" w:ascii="宋体" w:hAnsi="宋体" w:eastAsia="宋体" w:cs="宋体"/>
          <w:color w:val="auto"/>
        </w:rPr>
        <w:t>云镜主机安全产品应取得信息产业信息安全测评中心颁发的网络安全专用产品安全检测证书。</w:t>
      </w:r>
    </w:p>
    <w:p>
      <w:pPr>
        <w:pStyle w:val="7"/>
        <w:numPr>
          <w:ilvl w:val="0"/>
          <w:numId w:val="8"/>
        </w:numPr>
        <w:rPr>
          <w:rFonts w:hint="eastAsia" w:ascii="宋体" w:hAnsi="宋体" w:eastAsia="宋体" w:cs="宋体"/>
          <w:color w:val="auto"/>
        </w:rPr>
      </w:pPr>
      <w:r>
        <w:rPr>
          <w:rFonts w:hint="eastAsia" w:ascii="宋体" w:hAnsi="宋体" w:eastAsia="宋体" w:cs="宋体"/>
          <w:color w:val="auto"/>
        </w:rPr>
        <w:t>产品厂商应具备信息安全服务资质。</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2.5可扩展性与授权要求</w:t>
      </w:r>
    </w:p>
    <w:p>
      <w:pPr>
        <w:pStyle w:val="7"/>
        <w:numPr>
          <w:ilvl w:val="0"/>
          <w:numId w:val="9"/>
        </w:numPr>
        <w:rPr>
          <w:rFonts w:hint="eastAsia" w:ascii="宋体" w:hAnsi="宋体" w:eastAsia="宋体" w:cs="宋体"/>
          <w:color w:val="auto"/>
        </w:rPr>
      </w:pPr>
      <w:r>
        <w:rPr>
          <w:rFonts w:hint="eastAsia" w:ascii="宋体" w:hAnsi="宋体" w:eastAsia="宋体" w:cs="宋体"/>
          <w:color w:val="auto"/>
        </w:rPr>
        <w:t>安全大脑防护版与审计版应支持模块化授权扩容，后续可通过License升级扩展性能或功能模块。</w:t>
      </w:r>
    </w:p>
    <w:p>
      <w:pPr>
        <w:pStyle w:val="7"/>
        <w:numPr>
          <w:ilvl w:val="0"/>
          <w:numId w:val="9"/>
        </w:numPr>
        <w:rPr>
          <w:rFonts w:hint="eastAsia" w:ascii="宋体" w:hAnsi="宋体" w:eastAsia="宋体" w:cs="宋体"/>
          <w:color w:val="auto"/>
        </w:rPr>
      </w:pPr>
      <w:r>
        <w:rPr>
          <w:rFonts w:hint="eastAsia" w:ascii="宋体" w:hAnsi="宋体" w:eastAsia="宋体" w:cs="宋体"/>
          <w:color w:val="auto"/>
        </w:rPr>
        <w:t>云镜主机安全授权终端数应支持按需扩购，扩购价格应在采购时一并锁定或明确扩购计费标准。</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2.6售后服务与支持要求</w:t>
      </w:r>
    </w:p>
    <w:p>
      <w:pPr>
        <w:pStyle w:val="7"/>
        <w:numPr>
          <w:ilvl w:val="0"/>
          <w:numId w:val="10"/>
        </w:numPr>
        <w:rPr>
          <w:rFonts w:hint="eastAsia" w:ascii="宋体" w:hAnsi="宋体" w:eastAsia="宋体" w:cs="宋体"/>
          <w:color w:val="auto"/>
        </w:rPr>
      </w:pPr>
      <w:r>
        <w:rPr>
          <w:rFonts w:hint="eastAsia" w:ascii="宋体" w:hAnsi="宋体" w:eastAsia="宋体" w:cs="宋体"/>
          <w:color w:val="auto"/>
        </w:rPr>
        <w:t>厂商应提供不低于</w:t>
      </w:r>
      <w:r>
        <w:rPr>
          <w:rFonts w:hint="eastAsia" w:ascii="宋体" w:hAnsi="宋体" w:eastAsia="宋体" w:cs="宋体"/>
          <w:color w:val="auto"/>
          <w:lang w:val="en-US" w:eastAsia="zh-CN"/>
        </w:rPr>
        <w:t>1</w:t>
      </w:r>
      <w:r>
        <w:rPr>
          <w:rFonts w:hint="eastAsia" w:ascii="宋体" w:hAnsi="宋体" w:eastAsia="宋体" w:cs="宋体"/>
          <w:color w:val="auto"/>
        </w:rPr>
        <w:t>年的质保服务，含硬件保修、软件升级、特征库/病毒库更新。</w:t>
      </w:r>
    </w:p>
    <w:p>
      <w:pPr>
        <w:pStyle w:val="7"/>
        <w:numPr>
          <w:ilvl w:val="0"/>
          <w:numId w:val="10"/>
        </w:numPr>
        <w:rPr>
          <w:rFonts w:hint="eastAsia" w:ascii="宋体" w:hAnsi="宋体" w:eastAsia="宋体" w:cs="宋体"/>
          <w:color w:val="auto"/>
        </w:rPr>
      </w:pPr>
      <w:r>
        <w:rPr>
          <w:rFonts w:hint="eastAsia" w:ascii="宋体" w:hAnsi="宋体" w:eastAsia="宋体" w:cs="宋体"/>
          <w:color w:val="auto"/>
        </w:rPr>
        <w:t>响应时效：7×24小时技术支持热线，故障响应时间不超过2小时。</w:t>
      </w:r>
    </w:p>
    <w:p>
      <w:pPr>
        <w:pStyle w:val="7"/>
        <w:numPr>
          <w:ilvl w:val="0"/>
          <w:numId w:val="10"/>
        </w:numPr>
        <w:rPr>
          <w:rFonts w:hint="eastAsia" w:ascii="宋体" w:hAnsi="宋体" w:eastAsia="宋体" w:cs="宋体"/>
          <w:color w:val="auto"/>
        </w:rPr>
      </w:pPr>
      <w:r>
        <w:rPr>
          <w:rFonts w:hint="eastAsia" w:ascii="宋体" w:hAnsi="宋体" w:eastAsia="宋体" w:cs="宋体"/>
          <w:color w:val="auto"/>
        </w:rPr>
        <w:t>厂商应提供产品部署实施服务，含安装调试、策略配置、初始规则调优。</w:t>
      </w:r>
    </w:p>
    <w:p>
      <w:pPr>
        <w:pStyle w:val="3"/>
        <w:spacing w:before="180" w:after="180"/>
        <w:outlineLvl w:val="1"/>
        <w:rPr>
          <w:rFonts w:hint="eastAsia" w:ascii="宋体" w:hAnsi="宋体" w:eastAsia="宋体" w:cs="宋体"/>
          <w:color w:val="auto"/>
        </w:rPr>
      </w:pPr>
      <w:r>
        <w:rPr>
          <w:rFonts w:hint="eastAsia" w:ascii="宋体" w:hAnsi="宋体" w:eastAsia="宋体" w:cs="宋体"/>
          <w:b/>
          <w:bCs/>
          <w:color w:val="auto"/>
          <w:sz w:val="28"/>
          <w:szCs w:val="28"/>
        </w:rPr>
        <w:t>三、验收技术要点</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3.</w:t>
      </w:r>
      <w:r>
        <w:rPr>
          <w:rFonts w:hint="eastAsia" w:ascii="宋体" w:hAnsi="宋体" w:eastAsia="宋体" w:cs="宋体"/>
          <w:b/>
          <w:bCs/>
          <w:color w:val="auto"/>
          <w:sz w:val="26"/>
          <w:szCs w:val="26"/>
          <w:lang w:val="en-US" w:eastAsia="zh-CN"/>
        </w:rPr>
        <w:t>1</w:t>
      </w:r>
      <w:r>
        <w:rPr>
          <w:rFonts w:hint="eastAsia" w:ascii="宋体" w:hAnsi="宋体" w:eastAsia="宋体" w:cs="宋体"/>
          <w:b/>
          <w:bCs/>
          <w:color w:val="auto"/>
          <w:sz w:val="26"/>
          <w:szCs w:val="26"/>
        </w:rPr>
        <w:t>安全合规验收</w:t>
      </w:r>
    </w:p>
    <w:p>
      <w:pPr>
        <w:pStyle w:val="7"/>
        <w:numPr>
          <w:ilvl w:val="0"/>
          <w:numId w:val="11"/>
        </w:numPr>
        <w:rPr>
          <w:rFonts w:hint="eastAsia" w:ascii="宋体" w:hAnsi="宋体" w:eastAsia="宋体" w:cs="宋体"/>
          <w:color w:val="auto"/>
        </w:rPr>
      </w:pPr>
      <w:r>
        <w:rPr>
          <w:rFonts w:hint="eastAsia" w:ascii="宋体" w:hAnsi="宋体" w:eastAsia="宋体" w:cs="宋体"/>
          <w:color w:val="auto"/>
        </w:rPr>
        <w:t>核验产品资质证书</w:t>
      </w:r>
    </w:p>
    <w:p>
      <w:pPr>
        <w:pStyle w:val="7"/>
        <w:numPr>
          <w:ilvl w:val="0"/>
          <w:numId w:val="11"/>
        </w:numPr>
        <w:rPr>
          <w:rFonts w:hint="eastAsia" w:ascii="宋体" w:hAnsi="宋体" w:eastAsia="宋体" w:cs="宋体"/>
          <w:color w:val="auto"/>
        </w:rPr>
      </w:pPr>
      <w:r>
        <w:rPr>
          <w:rFonts w:hint="eastAsia" w:ascii="宋体" w:hAnsi="宋体" w:eastAsia="宋体" w:cs="宋体"/>
          <w:color w:val="auto"/>
        </w:rPr>
        <w:t>核验产品软件版本与送检版本一致，功能未做缩减。</w:t>
      </w:r>
    </w:p>
    <w:p>
      <w:pPr>
        <w:pStyle w:val="7"/>
        <w:numPr>
          <w:ilvl w:val="0"/>
          <w:numId w:val="11"/>
        </w:numPr>
        <w:rPr>
          <w:rFonts w:hint="eastAsia" w:ascii="宋体" w:hAnsi="宋体" w:eastAsia="宋体" w:cs="宋体"/>
          <w:color w:val="auto"/>
        </w:rPr>
      </w:pPr>
      <w:r>
        <w:rPr>
          <w:rFonts w:hint="eastAsia" w:ascii="宋体" w:hAnsi="宋体" w:eastAsia="宋体" w:cs="宋体"/>
          <w:color w:val="auto"/>
        </w:rPr>
        <w:t>验证产品默认无弱口令、无开放非必要端口、无未声明的数据外传行为。</w:t>
      </w:r>
    </w:p>
    <w:p>
      <w:pPr>
        <w:pStyle w:val="4"/>
        <w:spacing w:before="120" w:after="120"/>
        <w:outlineLvl w:val="2"/>
        <w:rPr>
          <w:rFonts w:hint="eastAsia" w:ascii="宋体" w:hAnsi="宋体" w:eastAsia="宋体" w:cs="宋体"/>
          <w:color w:val="auto"/>
        </w:rPr>
      </w:pPr>
      <w:r>
        <w:rPr>
          <w:rFonts w:hint="eastAsia" w:ascii="宋体" w:hAnsi="宋体" w:eastAsia="宋体" w:cs="宋体"/>
          <w:b/>
          <w:bCs/>
          <w:color w:val="auto"/>
          <w:sz w:val="26"/>
          <w:szCs w:val="26"/>
        </w:rPr>
        <w:t>3.7文档验收</w:t>
      </w:r>
    </w:p>
    <w:p>
      <w:pPr>
        <w:pStyle w:val="7"/>
        <w:numPr>
          <w:ilvl w:val="0"/>
          <w:numId w:val="12"/>
        </w:numPr>
        <w:rPr>
          <w:rFonts w:hint="eastAsia" w:ascii="宋体" w:hAnsi="宋体" w:eastAsia="宋体" w:cs="宋体"/>
          <w:color w:val="auto"/>
        </w:rPr>
      </w:pPr>
      <w:r>
        <w:rPr>
          <w:rFonts w:hint="eastAsia" w:ascii="宋体" w:hAnsi="宋体" w:eastAsia="宋体" w:cs="宋体"/>
          <w:color w:val="auto"/>
        </w:rPr>
        <w:t>交付文档清单。</w:t>
      </w:r>
    </w:p>
    <w:p>
      <w:pPr>
        <w:pStyle w:val="7"/>
        <w:numPr>
          <w:ilvl w:val="0"/>
          <w:numId w:val="12"/>
        </w:numPr>
        <w:rPr>
          <w:rFonts w:hint="eastAsia" w:ascii="宋体" w:hAnsi="宋体" w:eastAsia="宋体" w:cs="宋体"/>
          <w:color w:val="auto"/>
        </w:rPr>
      </w:pPr>
      <w:r>
        <w:rPr>
          <w:rFonts w:hint="eastAsia" w:ascii="宋体" w:hAnsi="宋体" w:eastAsia="宋体" w:cs="宋体"/>
          <w:color w:val="auto"/>
        </w:rPr>
        <w:t>验收文档应包含本次部署的具体配置参数、策略规则集、IP地址规划等信息。</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05BA40E0-43A1-4C4F-B0EF-EDAEA5BBDF75}"/>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singleLevel"/>
    <w:tmpl w:val="9C8AC8EF"/>
    <w:lvl w:ilvl="0" w:tentative="0">
      <w:start w:val="1"/>
      <w:numFmt w:val="bullet"/>
      <w:lvlText w:val="•"/>
      <w:lvlJc w:val="left"/>
      <w:pPr>
        <w:ind w:left="720" w:hanging="360"/>
      </w:pPr>
    </w:lvl>
  </w:abstractNum>
  <w:abstractNum w:abstractNumId="1">
    <w:nsid w:val="B5E306ED"/>
    <w:multiLevelType w:val="singleLevel"/>
    <w:tmpl w:val="B5E306ED"/>
    <w:lvl w:ilvl="0" w:tentative="0">
      <w:start w:val="1"/>
      <w:numFmt w:val="bullet"/>
      <w:lvlText w:val="•"/>
      <w:lvlJc w:val="left"/>
      <w:pPr>
        <w:ind w:left="720" w:hanging="360"/>
      </w:pPr>
    </w:lvl>
  </w:abstractNum>
  <w:abstractNum w:abstractNumId="2">
    <w:nsid w:val="C8879AEF"/>
    <w:multiLevelType w:val="singleLevel"/>
    <w:tmpl w:val="C8879AEF"/>
    <w:lvl w:ilvl="0" w:tentative="0">
      <w:start w:val="1"/>
      <w:numFmt w:val="bullet"/>
      <w:lvlText w:val="•"/>
      <w:lvlJc w:val="left"/>
      <w:pPr>
        <w:ind w:left="720" w:hanging="360"/>
      </w:pPr>
    </w:lvl>
  </w:abstractNum>
  <w:abstractNum w:abstractNumId="3">
    <w:nsid w:val="DCBA6B53"/>
    <w:multiLevelType w:val="singleLevel"/>
    <w:tmpl w:val="DCBA6B53"/>
    <w:lvl w:ilvl="0" w:tentative="0">
      <w:start w:val="1"/>
      <w:numFmt w:val="bullet"/>
      <w:lvlText w:val="•"/>
      <w:lvlJc w:val="left"/>
      <w:pPr>
        <w:ind w:left="720" w:hanging="360"/>
      </w:pPr>
    </w:lvl>
  </w:abstractNum>
  <w:abstractNum w:abstractNumId="4">
    <w:nsid w:val="F4B5D9F5"/>
    <w:multiLevelType w:val="singleLevel"/>
    <w:tmpl w:val="F4B5D9F5"/>
    <w:lvl w:ilvl="0" w:tentative="0">
      <w:start w:val="1"/>
      <w:numFmt w:val="bullet"/>
      <w:lvlText w:val="•"/>
      <w:lvlJc w:val="left"/>
      <w:pPr>
        <w:ind w:left="720" w:hanging="360"/>
      </w:pPr>
    </w:lvl>
  </w:abstractNum>
  <w:abstractNum w:abstractNumId="5">
    <w:nsid w:val="0053208E"/>
    <w:multiLevelType w:val="singleLevel"/>
    <w:tmpl w:val="0053208E"/>
    <w:lvl w:ilvl="0" w:tentative="0">
      <w:start w:val="1"/>
      <w:numFmt w:val="bullet"/>
      <w:lvlText w:val="•"/>
      <w:lvlJc w:val="left"/>
      <w:pPr>
        <w:ind w:left="720" w:hanging="360"/>
      </w:pPr>
    </w:lvl>
  </w:abstractNum>
  <w:abstractNum w:abstractNumId="6">
    <w:nsid w:val="0248C179"/>
    <w:multiLevelType w:val="singleLevel"/>
    <w:tmpl w:val="0248C179"/>
    <w:lvl w:ilvl="0" w:tentative="0">
      <w:start w:val="1"/>
      <w:numFmt w:val="bullet"/>
      <w:lvlText w:val="•"/>
      <w:lvlJc w:val="left"/>
      <w:pPr>
        <w:ind w:left="720" w:hanging="360"/>
      </w:pPr>
    </w:lvl>
  </w:abstractNum>
  <w:abstractNum w:abstractNumId="7">
    <w:nsid w:val="243FCF68"/>
    <w:multiLevelType w:val="singleLevel"/>
    <w:tmpl w:val="243FCF68"/>
    <w:lvl w:ilvl="0" w:tentative="0">
      <w:start w:val="1"/>
      <w:numFmt w:val="bullet"/>
      <w:lvlText w:val="•"/>
      <w:lvlJc w:val="left"/>
      <w:pPr>
        <w:ind w:left="720" w:hanging="360"/>
      </w:pPr>
    </w:lvl>
  </w:abstractNum>
  <w:abstractNum w:abstractNumId="8">
    <w:nsid w:val="25B654F3"/>
    <w:multiLevelType w:val="singleLevel"/>
    <w:tmpl w:val="25B654F3"/>
    <w:lvl w:ilvl="0" w:tentative="0">
      <w:start w:val="1"/>
      <w:numFmt w:val="bullet"/>
      <w:lvlText w:val="•"/>
      <w:lvlJc w:val="left"/>
      <w:pPr>
        <w:ind w:left="720" w:hanging="360"/>
      </w:pPr>
    </w:lvl>
  </w:abstractNum>
  <w:abstractNum w:abstractNumId="9">
    <w:nsid w:val="2A8F537B"/>
    <w:multiLevelType w:val="singleLevel"/>
    <w:tmpl w:val="2A8F537B"/>
    <w:lvl w:ilvl="0" w:tentative="0">
      <w:start w:val="1"/>
      <w:numFmt w:val="bullet"/>
      <w:lvlText w:val="•"/>
      <w:lvlJc w:val="left"/>
      <w:pPr>
        <w:ind w:left="720" w:hanging="360"/>
      </w:pPr>
    </w:lvl>
  </w:abstractNum>
  <w:abstractNum w:abstractNumId="10">
    <w:nsid w:val="59ADCABA"/>
    <w:multiLevelType w:val="singleLevel"/>
    <w:tmpl w:val="59ADCABA"/>
    <w:lvl w:ilvl="0" w:tentative="0">
      <w:start w:val="1"/>
      <w:numFmt w:val="bullet"/>
      <w:lvlText w:val="•"/>
      <w:lvlJc w:val="left"/>
      <w:pPr>
        <w:ind w:left="720" w:hanging="360"/>
      </w:pPr>
    </w:lvl>
  </w:abstractNum>
  <w:abstractNum w:abstractNumId="11">
    <w:nsid w:val="7DEC2089"/>
    <w:multiLevelType w:val="singleLevel"/>
    <w:tmpl w:val="7DEC2089"/>
    <w:lvl w:ilvl="0" w:tentative="0">
      <w:start w:val="1"/>
      <w:numFmt w:val="bullet"/>
      <w:lvlText w:val="•"/>
      <w:lvlJc w:val="left"/>
      <w:pPr>
        <w:ind w:left="720" w:hanging="360"/>
      </w:pPr>
    </w:lvl>
  </w:abstractNum>
  <w:num w:numId="1">
    <w:abstractNumId w:val="5"/>
    <w:lvlOverride w:ilvl="0">
      <w:startOverride w:val="1"/>
    </w:lvlOverride>
  </w:num>
  <w:num w:numId="2">
    <w:abstractNumId w:val="10"/>
    <w:lvlOverride w:ilvl="0">
      <w:startOverride w:val="1"/>
    </w:lvlOverride>
  </w:num>
  <w:num w:numId="3">
    <w:abstractNumId w:val="1"/>
    <w:lvlOverride w:ilvl="0">
      <w:startOverride w:val="1"/>
    </w:lvlOverride>
  </w:num>
  <w:num w:numId="4">
    <w:abstractNumId w:val="8"/>
    <w:lvlOverride w:ilvl="0">
      <w:startOverride w:val="1"/>
    </w:lvlOverride>
  </w:num>
  <w:num w:numId="5">
    <w:abstractNumId w:val="6"/>
    <w:lvlOverride w:ilvl="0">
      <w:startOverride w:val="1"/>
    </w:lvlOverride>
  </w:num>
  <w:num w:numId="6">
    <w:abstractNumId w:val="9"/>
    <w:lvlOverride w:ilvl="0">
      <w:startOverride w:val="1"/>
    </w:lvlOverride>
  </w:num>
  <w:num w:numId="7">
    <w:abstractNumId w:val="2"/>
    <w:lvlOverride w:ilvl="0">
      <w:startOverride w:val="1"/>
    </w:lvlOverride>
  </w:num>
  <w:num w:numId="8">
    <w:abstractNumId w:val="4"/>
    <w:lvlOverride w:ilvl="0">
      <w:startOverride w:val="1"/>
    </w:lvlOverride>
  </w:num>
  <w:num w:numId="9">
    <w:abstractNumId w:val="3"/>
    <w:lvlOverride w:ilvl="0">
      <w:startOverride w:val="1"/>
    </w:lvlOverride>
  </w:num>
  <w:num w:numId="10">
    <w:abstractNumId w:val="0"/>
    <w:lvlOverride w:ilvl="0">
      <w:startOverride w:val="1"/>
    </w:lvlOverride>
  </w:num>
  <w:num w:numId="11">
    <w:abstractNumId w:val="11"/>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4YzEzZDc2MTdlMzZlZDhkZTc4NTQ1YTJmNmE2NDUifQ=="/>
  </w:docVars>
  <w:rsids>
    <w:rsidRoot w:val="148C3490"/>
    <w:rsid w:val="148C3490"/>
    <w:rsid w:val="338F4DDA"/>
    <w:rsid w:val="380F65C3"/>
    <w:rsid w:val="7D202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微软雅黑" w:hAnsi="微软雅黑" w:eastAsia="微软雅黑" w:cs="微软雅黑"/>
      <w:sz w:val="24"/>
      <w:szCs w:val="24"/>
    </w:rPr>
  </w:style>
  <w:style w:type="paragraph" w:styleId="2">
    <w:name w:val="heading 1"/>
    <w:next w:val="1"/>
    <w:qFormat/>
    <w:uiPriority w:val="0"/>
    <w:pPr>
      <w:spacing w:line="360" w:lineRule="auto"/>
    </w:pPr>
    <w:rPr>
      <w:rFonts w:ascii="微软雅黑" w:hAnsi="微软雅黑" w:eastAsia="微软雅黑" w:cs="微软雅黑"/>
      <w:color w:val="2E74B5"/>
      <w:sz w:val="32"/>
      <w:szCs w:val="32"/>
    </w:rPr>
  </w:style>
  <w:style w:type="paragraph" w:styleId="3">
    <w:name w:val="heading 2"/>
    <w:next w:val="1"/>
    <w:qFormat/>
    <w:uiPriority w:val="0"/>
    <w:pPr>
      <w:spacing w:line="360" w:lineRule="auto"/>
    </w:pPr>
    <w:rPr>
      <w:rFonts w:ascii="微软雅黑" w:hAnsi="微软雅黑" w:eastAsia="微软雅黑" w:cs="微软雅黑"/>
      <w:color w:val="2E74B5"/>
      <w:sz w:val="26"/>
      <w:szCs w:val="26"/>
    </w:rPr>
  </w:style>
  <w:style w:type="paragraph" w:styleId="4">
    <w:name w:val="heading 3"/>
    <w:next w:val="1"/>
    <w:qFormat/>
    <w:uiPriority w:val="0"/>
    <w:pPr>
      <w:spacing w:line="360" w:lineRule="auto"/>
    </w:pPr>
    <w:rPr>
      <w:rFonts w:ascii="微软雅黑" w:hAnsi="微软雅黑" w:eastAsia="微软雅黑" w:cs="微软雅黑"/>
      <w:color w:val="1F4D78"/>
      <w:sz w:val="24"/>
      <w:szCs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7">
    <w:name w:val="List Paragraph"/>
    <w:qFormat/>
    <w:uiPriority w:val="0"/>
    <w:pPr>
      <w:spacing w:line="360" w:lineRule="auto"/>
    </w:pPr>
    <w:rPr>
      <w:rFonts w:ascii="微软雅黑" w:hAnsi="微软雅黑" w:eastAsia="微软雅黑" w:cs="微软雅黑"/>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1850</Words>
  <Characters>2051</Characters>
  <Lines>0</Lines>
  <Paragraphs>0</Paragraphs>
  <TotalTime>16</TotalTime>
  <ScaleCrop>false</ScaleCrop>
  <LinksUpToDate>false</LinksUpToDate>
  <CharactersWithSpaces>2051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2026-09-07T02:00:00Z</dcterms:created>
  <dc:creator>李磊</dc:creator>
  <cp:lastModifiedBy>完美夏天</cp:lastModifiedBy>
  <dcterms:modified xsi:type="dcterms:W3CDTF">2026-09-07T08:34:52Z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93CE374187914F5787AFE664CD4F048E_11</vt:lpwstr>
  </property>
  <property fmtid="{D5CDD505-2E9C-101B-9397-08002B2CF9AE}" pid="4" name="KSOTemplateDocerSaveRecord">
    <vt:lpwstr>eyJoZGlkIjoiMDljYzUzMWQ4OWI0YzBkYjYzMDRhZTY5ZjZkYmFmYTgiLCJ1c2VySWQiOiI3MjE3NDEyMTcifQ==</vt:lpwstr>
  </property>
</Properties>
</file>